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96A" w:rsidRPr="00EB31A0" w:rsidRDefault="0003596A" w:rsidP="00EB31A0">
      <w:pPr>
        <w:autoSpaceDE/>
        <w:adjustRightInd/>
        <w:ind w:right="-1" w:firstLine="709"/>
        <w:jc w:val="center"/>
        <w:rPr>
          <w:b/>
          <w:bCs/>
          <w:sz w:val="26"/>
          <w:szCs w:val="26"/>
        </w:rPr>
      </w:pPr>
      <w:r w:rsidRPr="00EB31A0">
        <w:rPr>
          <w:b/>
          <w:bCs/>
          <w:sz w:val="26"/>
          <w:szCs w:val="26"/>
        </w:rPr>
        <w:t>Методические рекомендации по написанию научных работ</w:t>
      </w:r>
    </w:p>
    <w:p w:rsidR="0003596A" w:rsidRPr="00B02C45" w:rsidRDefault="0003596A" w:rsidP="0003596A">
      <w:pPr>
        <w:autoSpaceDE/>
        <w:adjustRightInd/>
        <w:ind w:right="-1" w:firstLine="709"/>
        <w:jc w:val="both"/>
        <w:rPr>
          <w:rFonts w:ascii="13" w:hAnsi="13"/>
          <w:b/>
          <w:bCs/>
          <w:sz w:val="26"/>
          <w:szCs w:val="26"/>
        </w:rPr>
      </w:pPr>
    </w:p>
    <w:p w:rsidR="0003596A" w:rsidRPr="00B02C45" w:rsidRDefault="0003596A" w:rsidP="0003596A">
      <w:pPr>
        <w:autoSpaceDE/>
        <w:adjustRightInd/>
        <w:ind w:right="-1" w:firstLine="709"/>
        <w:jc w:val="both"/>
        <w:rPr>
          <w:rStyle w:val="FontStyle45"/>
          <w:rFonts w:ascii="13" w:hAnsi="13"/>
          <w:sz w:val="26"/>
          <w:szCs w:val="26"/>
        </w:rPr>
      </w:pPr>
      <w:r w:rsidRPr="00B02C45">
        <w:rPr>
          <w:rStyle w:val="FontStyle45"/>
          <w:rFonts w:ascii="13" w:hAnsi="13"/>
          <w:sz w:val="26"/>
          <w:szCs w:val="26"/>
        </w:rPr>
        <w:t>Выполнение научных работ является важным этапом обучения. Основной целью научной работы считается выработка профессиональных навыков научного исследования. Задачи, решаемые студентом при написании научной работы должны быть направлены на достижение поставленной цели и соответствовать требованиям, предъявляемым к специалисту с высшим образованием в соответствующей области знаний.</w:t>
      </w:r>
    </w:p>
    <w:p w:rsidR="0003596A" w:rsidRPr="00B02C45" w:rsidRDefault="0003596A" w:rsidP="0003596A">
      <w:pPr>
        <w:pStyle w:val="Style2"/>
        <w:widowControl/>
        <w:spacing w:line="240" w:lineRule="auto"/>
        <w:ind w:right="-1" w:firstLine="709"/>
        <w:rPr>
          <w:rStyle w:val="FontStyle45"/>
          <w:rFonts w:ascii="13" w:hAnsi="13"/>
          <w:sz w:val="26"/>
          <w:szCs w:val="26"/>
        </w:rPr>
      </w:pPr>
      <w:r w:rsidRPr="00B02C45">
        <w:rPr>
          <w:rStyle w:val="FontStyle45"/>
          <w:rFonts w:ascii="13" w:hAnsi="13"/>
          <w:sz w:val="26"/>
          <w:szCs w:val="26"/>
        </w:rPr>
        <w:t>Научная работа, должна представлять собой исследование научного характера, включающее известную авторскую инициативу. Не допускается компиляции, т. е. сводки различных данных, взятых из монографий, учебников и др. В работе должен быть проведен анализ, исследование всего материала, относящегося к данной теме и содержащегося в рекомендованных источниках, с учетом уже сложившихся в науке концепций и взглядов, которые высказаны в соответствующей научно-исследовательской литературе.</w:t>
      </w:r>
    </w:p>
    <w:p w:rsidR="0003596A" w:rsidRPr="00B02C45" w:rsidRDefault="0003596A" w:rsidP="0003596A">
      <w:pPr>
        <w:pStyle w:val="Style2"/>
        <w:widowControl/>
        <w:spacing w:line="240" w:lineRule="auto"/>
        <w:ind w:right="-1" w:firstLine="709"/>
        <w:rPr>
          <w:rStyle w:val="FontStyle45"/>
          <w:rFonts w:ascii="13" w:hAnsi="13"/>
          <w:sz w:val="26"/>
          <w:szCs w:val="26"/>
        </w:rPr>
      </w:pPr>
      <w:r w:rsidRPr="00B02C45">
        <w:rPr>
          <w:rStyle w:val="FontStyle45"/>
          <w:rFonts w:ascii="13" w:hAnsi="13"/>
          <w:sz w:val="26"/>
          <w:szCs w:val="26"/>
        </w:rPr>
        <w:t>Если научная работа имеет теоретический характер и посвящена решению научной задачи, ее основным содержанием может быть развитие положений, ранее выдвинутых той или иной научной школой. Цель подобных исследований заключается в решении и развитии частных теоретических вопросов обычно в рамках уже достаточно апробированной научной концепции. Информационной базой для таких работ могут служить монографии, публикации в научных журналах и других изданиях, включая справочные электронные системы.</w:t>
      </w:r>
    </w:p>
    <w:p w:rsidR="0003596A" w:rsidRPr="00B02C45" w:rsidRDefault="0003596A" w:rsidP="0003596A">
      <w:pPr>
        <w:pStyle w:val="Style2"/>
        <w:widowControl/>
        <w:spacing w:line="240" w:lineRule="auto"/>
        <w:ind w:right="-1" w:firstLine="709"/>
        <w:rPr>
          <w:rStyle w:val="FontStyle45"/>
          <w:rFonts w:ascii="13" w:hAnsi="13"/>
          <w:sz w:val="26"/>
          <w:szCs w:val="26"/>
        </w:rPr>
      </w:pPr>
      <w:r w:rsidRPr="00B02C45">
        <w:rPr>
          <w:rStyle w:val="FontStyle45"/>
          <w:rFonts w:ascii="13" w:hAnsi="13"/>
          <w:sz w:val="26"/>
          <w:szCs w:val="26"/>
        </w:rPr>
        <w:t>Научная работа должна представлять собой завершенную научно-исследовательскую работу, в которой необходимо четко сформулировать проблему, обосновать актуальность темы, изложить степень изученности проблемы и состояние ее исследования, изложить выводы.</w:t>
      </w:r>
    </w:p>
    <w:p w:rsidR="0003596A" w:rsidRPr="00B02C45" w:rsidRDefault="0003596A" w:rsidP="0003596A">
      <w:pPr>
        <w:pStyle w:val="a3"/>
        <w:ind w:right="-1" w:firstLine="709"/>
        <w:jc w:val="both"/>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Default="0003596A" w:rsidP="0003596A">
      <w:pPr>
        <w:pStyle w:val="a3"/>
        <w:jc w:val="center"/>
        <w:rPr>
          <w:rFonts w:ascii="13" w:hAnsi="13"/>
          <w:b/>
          <w:bCs/>
          <w:sz w:val="26"/>
          <w:szCs w:val="26"/>
        </w:rPr>
      </w:pPr>
    </w:p>
    <w:p w:rsidR="0003596A" w:rsidRDefault="0003596A" w:rsidP="0003596A">
      <w:pPr>
        <w:pStyle w:val="a3"/>
        <w:jc w:val="center"/>
        <w:rPr>
          <w:rFonts w:ascii="13" w:hAnsi="13"/>
          <w:b/>
          <w:bCs/>
          <w:sz w:val="26"/>
          <w:szCs w:val="26"/>
        </w:rPr>
      </w:pPr>
    </w:p>
    <w:p w:rsidR="0003596A" w:rsidRDefault="0003596A" w:rsidP="0003596A">
      <w:pPr>
        <w:pStyle w:val="a3"/>
        <w:jc w:val="center"/>
        <w:rPr>
          <w:rFonts w:ascii="13" w:hAnsi="13"/>
          <w:b/>
          <w:bCs/>
          <w:sz w:val="26"/>
          <w:szCs w:val="26"/>
        </w:rPr>
      </w:pPr>
    </w:p>
    <w:p w:rsidR="0003596A" w:rsidRPr="00B02C45" w:rsidRDefault="0003596A" w:rsidP="0003596A">
      <w:pPr>
        <w:pStyle w:val="a3"/>
        <w:jc w:val="center"/>
        <w:rPr>
          <w:rFonts w:ascii="13" w:hAnsi="13"/>
          <w:b/>
          <w:bCs/>
          <w:sz w:val="26"/>
          <w:szCs w:val="26"/>
        </w:rPr>
      </w:pPr>
    </w:p>
    <w:p w:rsidR="0003596A" w:rsidRPr="00B02C45" w:rsidRDefault="0003596A" w:rsidP="0003596A">
      <w:pPr>
        <w:pStyle w:val="a3"/>
        <w:spacing w:before="0" w:beforeAutospacing="0" w:after="0" w:afterAutospacing="0"/>
        <w:jc w:val="center"/>
        <w:rPr>
          <w:rFonts w:ascii="13" w:hAnsi="13"/>
          <w:b/>
          <w:bCs/>
          <w:sz w:val="26"/>
          <w:szCs w:val="26"/>
        </w:rPr>
      </w:pPr>
    </w:p>
    <w:p w:rsidR="0003596A" w:rsidRPr="00B02C45" w:rsidRDefault="0003596A" w:rsidP="0003596A">
      <w:pPr>
        <w:pStyle w:val="a3"/>
        <w:spacing w:before="0" w:beforeAutospacing="0" w:after="0" w:afterAutospacing="0"/>
        <w:jc w:val="center"/>
        <w:rPr>
          <w:rFonts w:ascii="13" w:hAnsi="13"/>
          <w:b/>
          <w:bCs/>
          <w:sz w:val="26"/>
          <w:szCs w:val="26"/>
        </w:rPr>
      </w:pPr>
      <w:r w:rsidRPr="00B02C45">
        <w:rPr>
          <w:rFonts w:ascii="13" w:hAnsi="13"/>
          <w:b/>
          <w:bCs/>
          <w:sz w:val="26"/>
          <w:szCs w:val="26"/>
        </w:rPr>
        <w:t xml:space="preserve">ПРИМЕРНАЯ ТЕМАТИКА </w:t>
      </w:r>
      <w:r>
        <w:rPr>
          <w:rFonts w:ascii="13" w:hAnsi="13"/>
          <w:b/>
          <w:bCs/>
          <w:sz w:val="26"/>
          <w:szCs w:val="26"/>
        </w:rPr>
        <w:t>НАУЧНЫХ РАБОТ (</w:t>
      </w:r>
      <w:r w:rsidRPr="00B02C45">
        <w:rPr>
          <w:rFonts w:ascii="13" w:hAnsi="13"/>
          <w:b/>
          <w:bCs/>
          <w:sz w:val="26"/>
          <w:szCs w:val="26"/>
        </w:rPr>
        <w:t>РЕФЕРАТОВ</w:t>
      </w:r>
      <w:r>
        <w:rPr>
          <w:rFonts w:ascii="13" w:hAnsi="13"/>
          <w:b/>
          <w:bCs/>
          <w:sz w:val="26"/>
          <w:szCs w:val="26"/>
        </w:rPr>
        <w:t>)</w:t>
      </w:r>
      <w:r w:rsidRPr="00B02C45">
        <w:rPr>
          <w:rFonts w:ascii="13" w:hAnsi="13"/>
          <w:b/>
          <w:bCs/>
          <w:sz w:val="26"/>
          <w:szCs w:val="26"/>
        </w:rPr>
        <w:t xml:space="preserve"> </w:t>
      </w:r>
    </w:p>
    <w:p w:rsidR="0003596A" w:rsidRPr="00B02C45" w:rsidRDefault="0003596A" w:rsidP="0003596A">
      <w:pPr>
        <w:pStyle w:val="a3"/>
        <w:spacing w:before="0" w:beforeAutospacing="0" w:after="0" w:afterAutospacing="0"/>
        <w:jc w:val="center"/>
        <w:rPr>
          <w:rFonts w:ascii="13" w:hAnsi="13"/>
          <w:b/>
          <w:bCs/>
          <w:sz w:val="26"/>
          <w:szCs w:val="26"/>
        </w:rPr>
      </w:pPr>
      <w:r w:rsidRPr="00B02C45">
        <w:rPr>
          <w:rFonts w:ascii="13" w:hAnsi="13"/>
          <w:b/>
          <w:bCs/>
          <w:sz w:val="26"/>
          <w:szCs w:val="26"/>
        </w:rPr>
        <w:t>ПО УЧЕБНОЙ ДИСЦИПЛИНЕ</w:t>
      </w:r>
    </w:p>
    <w:p w:rsidR="0003596A" w:rsidRPr="00B02C45" w:rsidRDefault="0003596A" w:rsidP="0003596A">
      <w:pPr>
        <w:jc w:val="center"/>
        <w:rPr>
          <w:rFonts w:ascii="13" w:hAnsi="13"/>
          <w:b/>
          <w:sz w:val="26"/>
          <w:szCs w:val="26"/>
        </w:rPr>
      </w:pPr>
      <w:r w:rsidRPr="00B02C45">
        <w:rPr>
          <w:rFonts w:ascii="13" w:hAnsi="13"/>
          <w:b/>
          <w:sz w:val="26"/>
          <w:szCs w:val="26"/>
        </w:rPr>
        <w:t>«</w:t>
      </w:r>
      <w:r w:rsidR="008D14D4">
        <w:rPr>
          <w:rFonts w:ascii="13" w:hAnsi="13"/>
          <w:b/>
          <w:sz w:val="26"/>
          <w:szCs w:val="26"/>
        </w:rPr>
        <w:t>Земельное право</w:t>
      </w:r>
      <w:r w:rsidRPr="00B02C45">
        <w:rPr>
          <w:rFonts w:ascii="13" w:hAnsi="13"/>
          <w:b/>
          <w:sz w:val="26"/>
          <w:szCs w:val="26"/>
        </w:rPr>
        <w:t>»</w:t>
      </w:r>
    </w:p>
    <w:p w:rsidR="0003596A" w:rsidRPr="00B02C45" w:rsidRDefault="0003596A" w:rsidP="0003596A">
      <w:pPr>
        <w:jc w:val="center"/>
        <w:rPr>
          <w:rFonts w:ascii="13" w:hAnsi="13"/>
          <w:b/>
          <w:sz w:val="26"/>
          <w:szCs w:val="26"/>
        </w:rPr>
      </w:pPr>
    </w:p>
    <w:p w:rsidR="008D14D4" w:rsidRPr="008471B3" w:rsidRDefault="008D14D4" w:rsidP="008471B3">
      <w:pPr>
        <w:pStyle w:val="a4"/>
        <w:widowControl w:val="0"/>
        <w:numPr>
          <w:ilvl w:val="0"/>
          <w:numId w:val="4"/>
        </w:numPr>
        <w:overflowPunct/>
        <w:jc w:val="both"/>
        <w:rPr>
          <w:sz w:val="28"/>
          <w:szCs w:val="28"/>
        </w:rPr>
      </w:pPr>
      <w:r w:rsidRPr="008471B3">
        <w:rPr>
          <w:sz w:val="28"/>
          <w:szCs w:val="28"/>
        </w:rPr>
        <w:t xml:space="preserve">Роль земельного права в развитии </w:t>
      </w:r>
      <w:r w:rsidRPr="008471B3">
        <w:rPr>
          <w:sz w:val="28"/>
          <w:szCs w:val="28"/>
        </w:rPr>
        <w:t>«зеленой»</w:t>
      </w:r>
      <w:r w:rsidRPr="008471B3">
        <w:rPr>
          <w:sz w:val="28"/>
          <w:szCs w:val="28"/>
        </w:rPr>
        <w:t xml:space="preserve"> экономики.</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Правовые формы использования земли в Республике Беларусь</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Правовой режим земли как недвижимого имущества</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Право государственной собственности на землю: генезис и особенности</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Право частной собственности на землю</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Правовое регулирование оборота земельных участков</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Правовые формы использования земли юридическими лицами</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Правовые формы использования земли гражданами</w:t>
      </w:r>
    </w:p>
    <w:p w:rsidR="008D14D4" w:rsidRPr="008471B3" w:rsidRDefault="008D14D4" w:rsidP="008471B3">
      <w:pPr>
        <w:pStyle w:val="a4"/>
        <w:widowControl w:val="0"/>
        <w:numPr>
          <w:ilvl w:val="0"/>
          <w:numId w:val="4"/>
        </w:numPr>
        <w:overflowPunct/>
        <w:jc w:val="both"/>
        <w:textAlignment w:val="baseline"/>
        <w:rPr>
          <w:sz w:val="28"/>
          <w:szCs w:val="28"/>
        </w:rPr>
      </w:pPr>
      <w:r w:rsidRPr="008471B3">
        <w:rPr>
          <w:sz w:val="28"/>
          <w:szCs w:val="28"/>
        </w:rPr>
        <w:t>Понятие и содержание права землевладения</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Понятие и виды права землепользования</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Права на землю иностранных субъектов на территории Республики Беларусь</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Правовое регулирование земельных сервитутов</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Правовое регулирование сделок с землей</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Аренда земли: понятие и содержание</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Правовое регулирование концессии земель</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Административная ответственность за земельные правонарушения</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Гражданско-правовые способы защиты земельных прав</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Уголовная ответственность за земельные правонарушения</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Правовое регулирование возникновения и прекращения прав на землю</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Правовое регулирование регистрации земельных участков, прав на них и сделок сними</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Понятие и содержание земельного кадастра</w:t>
      </w:r>
    </w:p>
    <w:p w:rsidR="008D14D4" w:rsidRPr="008471B3" w:rsidRDefault="008471B3" w:rsidP="008471B3">
      <w:pPr>
        <w:pStyle w:val="a4"/>
        <w:widowControl w:val="0"/>
        <w:numPr>
          <w:ilvl w:val="0"/>
          <w:numId w:val="4"/>
        </w:numPr>
        <w:overflowPunct/>
        <w:jc w:val="both"/>
        <w:textAlignment w:val="baseline"/>
        <w:rPr>
          <w:sz w:val="28"/>
          <w:szCs w:val="28"/>
        </w:rPr>
      </w:pPr>
      <w:r w:rsidRPr="008471B3">
        <w:rPr>
          <w:sz w:val="28"/>
          <w:szCs w:val="28"/>
        </w:rPr>
        <w:t xml:space="preserve"> </w:t>
      </w:r>
      <w:r w:rsidR="008D14D4" w:rsidRPr="008471B3">
        <w:rPr>
          <w:sz w:val="28"/>
          <w:szCs w:val="28"/>
        </w:rPr>
        <w:t>Экономико-правовой механизм землепользования</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Правовой режим земель сельскохозяйственного назначения</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bookmarkStart w:id="0" w:name="_GoBack"/>
      <w:bookmarkEnd w:id="0"/>
      <w:r w:rsidR="008D14D4" w:rsidRPr="008471B3">
        <w:rPr>
          <w:sz w:val="28"/>
          <w:szCs w:val="28"/>
        </w:rPr>
        <w:t>Право сельскохозяйственного землевладения и землепользования граждан</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 землепользования сельскохозяйственных организаций</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Правовой режим земель, предоставленных для ведения крестьянского хозяйства</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Правовой режим земель транспорта, связи, обороны</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 xml:space="preserve">Правовой режим земель населенных пунктов </w:t>
      </w:r>
    </w:p>
    <w:p w:rsidR="008D14D4" w:rsidRPr="008471B3" w:rsidRDefault="008471B3" w:rsidP="008471B3">
      <w:pPr>
        <w:pStyle w:val="a4"/>
        <w:widowControl w:val="0"/>
        <w:numPr>
          <w:ilvl w:val="0"/>
          <w:numId w:val="4"/>
        </w:numPr>
        <w:overflowPunct/>
        <w:jc w:val="both"/>
        <w:textAlignment w:val="baseline"/>
        <w:rPr>
          <w:sz w:val="28"/>
          <w:szCs w:val="28"/>
        </w:rPr>
      </w:pPr>
      <w:r>
        <w:rPr>
          <w:sz w:val="28"/>
          <w:szCs w:val="28"/>
        </w:rPr>
        <w:t xml:space="preserve"> </w:t>
      </w:r>
      <w:r w:rsidR="008D14D4" w:rsidRPr="008471B3">
        <w:rPr>
          <w:sz w:val="28"/>
          <w:szCs w:val="28"/>
        </w:rPr>
        <w:t>Правовой режим земель, подвергшихся радиоактивному загрязнению</w:t>
      </w:r>
    </w:p>
    <w:p w:rsidR="008471B3" w:rsidRPr="008471B3" w:rsidRDefault="008471B3" w:rsidP="008471B3">
      <w:pPr>
        <w:pStyle w:val="a4"/>
        <w:widowControl w:val="0"/>
        <w:numPr>
          <w:ilvl w:val="0"/>
          <w:numId w:val="4"/>
        </w:numPr>
        <w:overflowPunct/>
        <w:jc w:val="both"/>
        <w:textAlignment w:val="baseline"/>
        <w:rPr>
          <w:lang w:val="be-BY"/>
        </w:rPr>
      </w:pPr>
      <w:r w:rsidRPr="008471B3">
        <w:rPr>
          <w:sz w:val="28"/>
          <w:szCs w:val="28"/>
        </w:rPr>
        <w:t xml:space="preserve"> </w:t>
      </w:r>
      <w:r w:rsidR="008D14D4" w:rsidRPr="008471B3">
        <w:rPr>
          <w:sz w:val="28"/>
          <w:szCs w:val="28"/>
        </w:rPr>
        <w:t>Особенности правового режима земель лесного (водного) фонда</w:t>
      </w:r>
    </w:p>
    <w:sectPr w:rsidR="008471B3" w:rsidRPr="0084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13">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877"/>
    <w:multiLevelType w:val="hybridMultilevel"/>
    <w:tmpl w:val="CA8033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DE1BC5"/>
    <w:multiLevelType w:val="singleLevel"/>
    <w:tmpl w:val="25C2D738"/>
    <w:lvl w:ilvl="0">
      <w:start w:val="1"/>
      <w:numFmt w:val="decimal"/>
      <w:lvlText w:val="%1."/>
      <w:legacy w:legacy="1" w:legacySpace="0" w:legacyIndent="283"/>
      <w:lvlJc w:val="left"/>
      <w:pPr>
        <w:ind w:left="283" w:hanging="283"/>
      </w:pPr>
    </w:lvl>
  </w:abstractNum>
  <w:abstractNum w:abstractNumId="2" w15:restartNumberingAfterBreak="0">
    <w:nsid w:val="325519A4"/>
    <w:multiLevelType w:val="hybridMultilevel"/>
    <w:tmpl w:val="97ECDD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8095F1B"/>
    <w:multiLevelType w:val="hybridMultilevel"/>
    <w:tmpl w:val="C914BF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E3"/>
    <w:rsid w:val="000050B8"/>
    <w:rsid w:val="0003596A"/>
    <w:rsid w:val="008471B3"/>
    <w:rsid w:val="008D14D4"/>
    <w:rsid w:val="00932FE3"/>
    <w:rsid w:val="00EB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CA6"/>
  <w15:chartTrackingRefBased/>
  <w15:docId w15:val="{7A024987-EA89-4670-A205-6A06C998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96A"/>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03596A"/>
    <w:pPr>
      <w:widowControl w:val="0"/>
      <w:overflowPunct/>
      <w:spacing w:line="239" w:lineRule="exact"/>
      <w:ind w:firstLine="293"/>
      <w:jc w:val="both"/>
    </w:pPr>
    <w:rPr>
      <w:rFonts w:ascii="Calibri" w:hAnsi="Calibri"/>
      <w:szCs w:val="24"/>
    </w:rPr>
  </w:style>
  <w:style w:type="character" w:customStyle="1" w:styleId="FontStyle45">
    <w:name w:val="Font Style45"/>
    <w:basedOn w:val="a0"/>
    <w:rsid w:val="0003596A"/>
    <w:rPr>
      <w:rFonts w:ascii="Calibri" w:hAnsi="Calibri" w:cs="Calibri" w:hint="default"/>
      <w:sz w:val="18"/>
      <w:szCs w:val="18"/>
    </w:rPr>
  </w:style>
  <w:style w:type="paragraph" w:styleId="a3">
    <w:name w:val="Normal (Web)"/>
    <w:basedOn w:val="a"/>
    <w:uiPriority w:val="99"/>
    <w:semiHidden/>
    <w:unhideWhenUsed/>
    <w:rsid w:val="0003596A"/>
    <w:pPr>
      <w:overflowPunct/>
      <w:autoSpaceDE/>
      <w:autoSpaceDN/>
      <w:adjustRightInd/>
      <w:spacing w:before="100" w:beforeAutospacing="1" w:after="100" w:afterAutospacing="1"/>
    </w:pPr>
    <w:rPr>
      <w:szCs w:val="24"/>
    </w:rPr>
  </w:style>
  <w:style w:type="paragraph" w:styleId="a4">
    <w:name w:val="List Paragraph"/>
    <w:basedOn w:val="a"/>
    <w:uiPriority w:val="34"/>
    <w:qFormat/>
    <w:rsid w:val="008D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ACER</cp:lastModifiedBy>
  <cp:revision>5</cp:revision>
  <dcterms:created xsi:type="dcterms:W3CDTF">2017-01-22T15:06:00Z</dcterms:created>
  <dcterms:modified xsi:type="dcterms:W3CDTF">2022-10-06T18:20:00Z</dcterms:modified>
</cp:coreProperties>
</file>