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AE6" w:rsidRDefault="00BD2AE6" w:rsidP="00BD2A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рефератов</w:t>
      </w:r>
      <w:r w:rsidRPr="00225EE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курсу</w:t>
      </w:r>
    </w:p>
    <w:p w:rsidR="00BD2AE6" w:rsidRPr="00BD2AE6" w:rsidRDefault="00BD2AE6" w:rsidP="00BD2A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AE6">
        <w:rPr>
          <w:rFonts w:ascii="Times New Roman" w:hAnsi="Times New Roman" w:cs="Times New Roman"/>
          <w:b/>
          <w:sz w:val="28"/>
          <w:szCs w:val="28"/>
        </w:rPr>
        <w:t>«Поведенческая экономика»</w:t>
      </w:r>
    </w:p>
    <w:p w:rsidR="00DE2C24" w:rsidRDefault="00DE2C24"/>
    <w:p w:rsidR="00BD2AE6" w:rsidRPr="00BD2AE6" w:rsidRDefault="00BD2AE6" w:rsidP="00CF4A1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BD2AE6">
        <w:rPr>
          <w:rFonts w:ascii="Times New Roman" w:hAnsi="Times New Roman" w:cs="Times New Roman"/>
          <w:sz w:val="28"/>
          <w:szCs w:val="28"/>
        </w:rPr>
        <w:t xml:space="preserve">Применение концепций ограниченной, переменной рациональности на практике.  </w:t>
      </w:r>
    </w:p>
    <w:p w:rsidR="00BD2AE6" w:rsidRDefault="00BD2AE6" w:rsidP="00CF4A1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BD2AE6">
        <w:rPr>
          <w:rFonts w:ascii="Times New Roman" w:hAnsi="Times New Roman" w:cs="Times New Roman"/>
          <w:sz w:val="28"/>
          <w:szCs w:val="28"/>
        </w:rPr>
        <w:t>История поведенческих исследований</w:t>
      </w:r>
      <w:r>
        <w:rPr>
          <w:rFonts w:ascii="Times New Roman" w:hAnsi="Times New Roman" w:cs="Times New Roman"/>
          <w:sz w:val="28"/>
          <w:szCs w:val="28"/>
        </w:rPr>
        <w:t xml:space="preserve"> (раскрыть научную биографию исследователя по выбору)</w:t>
      </w:r>
      <w:r w:rsidRPr="00BD2A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2AE6" w:rsidRDefault="00BD2AE6" w:rsidP="00CF4A1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BD2AE6">
        <w:rPr>
          <w:rFonts w:ascii="Times New Roman" w:hAnsi="Times New Roman" w:cs="Times New Roman"/>
          <w:sz w:val="28"/>
          <w:szCs w:val="28"/>
        </w:rPr>
        <w:t>Теория перспектив</w:t>
      </w:r>
      <w:r>
        <w:rPr>
          <w:rFonts w:ascii="Times New Roman" w:hAnsi="Times New Roman" w:cs="Times New Roman"/>
          <w:sz w:val="28"/>
          <w:szCs w:val="28"/>
        </w:rPr>
        <w:t xml:space="preserve"> и ее значение для становления поведенческой экономики</w:t>
      </w:r>
      <w:r w:rsidRPr="00BD2A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2AE6" w:rsidRDefault="00BD2AE6" w:rsidP="00CF4A1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2AE6">
        <w:rPr>
          <w:rFonts w:ascii="Times New Roman" w:hAnsi="Times New Roman" w:cs="Times New Roman"/>
          <w:sz w:val="28"/>
          <w:szCs w:val="28"/>
        </w:rPr>
        <w:t>Либертарианский</w:t>
      </w:r>
      <w:proofErr w:type="spellEnd"/>
      <w:r w:rsidRPr="00BD2AE6">
        <w:rPr>
          <w:rFonts w:ascii="Times New Roman" w:hAnsi="Times New Roman" w:cs="Times New Roman"/>
          <w:sz w:val="28"/>
          <w:szCs w:val="28"/>
        </w:rPr>
        <w:t xml:space="preserve"> патернализм</w:t>
      </w:r>
      <w:r>
        <w:rPr>
          <w:rFonts w:ascii="Times New Roman" w:hAnsi="Times New Roman" w:cs="Times New Roman"/>
          <w:sz w:val="28"/>
          <w:szCs w:val="28"/>
        </w:rPr>
        <w:t xml:space="preserve"> - противоречия и особенности применения</w:t>
      </w:r>
      <w:r w:rsidRPr="00BD2AE6">
        <w:rPr>
          <w:rFonts w:ascii="Times New Roman" w:hAnsi="Times New Roman" w:cs="Times New Roman"/>
          <w:sz w:val="28"/>
          <w:szCs w:val="28"/>
        </w:rPr>
        <w:t>.</w:t>
      </w:r>
    </w:p>
    <w:p w:rsidR="00BD2AE6" w:rsidRDefault="00BD2AE6" w:rsidP="00CF4A1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Проявления э</w:t>
      </w:r>
      <w:r w:rsidRPr="00BD2AE6">
        <w:rPr>
          <w:rFonts w:ascii="Times New Roman" w:hAnsi="Times New Roman" w:cs="Times New Roman"/>
          <w:sz w:val="28"/>
          <w:szCs w:val="28"/>
        </w:rPr>
        <w:t>ффект владения</w:t>
      </w:r>
      <w:r>
        <w:rPr>
          <w:rFonts w:ascii="Times New Roman" w:hAnsi="Times New Roman" w:cs="Times New Roman"/>
          <w:sz w:val="28"/>
          <w:szCs w:val="28"/>
        </w:rPr>
        <w:t xml:space="preserve"> на практике</w:t>
      </w:r>
      <w:r w:rsidRPr="00BD2A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2AE6" w:rsidRDefault="00BD2AE6" w:rsidP="00CF4A1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Проявления</w:t>
      </w:r>
      <w:r w:rsidRPr="00BD2A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BD2AE6">
        <w:rPr>
          <w:rFonts w:ascii="Times New Roman" w:hAnsi="Times New Roman" w:cs="Times New Roman"/>
          <w:sz w:val="28"/>
          <w:szCs w:val="28"/>
        </w:rPr>
        <w:t>ффект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2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AE6">
        <w:rPr>
          <w:rFonts w:ascii="Times New Roman" w:hAnsi="Times New Roman" w:cs="Times New Roman"/>
          <w:sz w:val="28"/>
          <w:szCs w:val="28"/>
        </w:rPr>
        <w:t>фрейминга</w:t>
      </w:r>
      <w:proofErr w:type="spellEnd"/>
      <w:r w:rsidRPr="00BD2A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практике</w:t>
      </w:r>
      <w:r w:rsidRPr="00BD2A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2AE6" w:rsidRDefault="00BD2AE6" w:rsidP="00CF4A1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Проявления</w:t>
      </w:r>
      <w:r w:rsidRPr="00BD2A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BD2AE6">
        <w:rPr>
          <w:rFonts w:ascii="Times New Roman" w:hAnsi="Times New Roman" w:cs="Times New Roman"/>
          <w:sz w:val="28"/>
          <w:szCs w:val="28"/>
        </w:rPr>
        <w:t>ффект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2AE6">
        <w:rPr>
          <w:rFonts w:ascii="Times New Roman" w:hAnsi="Times New Roman" w:cs="Times New Roman"/>
          <w:sz w:val="28"/>
          <w:szCs w:val="28"/>
        </w:rPr>
        <w:t xml:space="preserve"> точки отсчета </w:t>
      </w:r>
      <w:r>
        <w:rPr>
          <w:rFonts w:ascii="Times New Roman" w:hAnsi="Times New Roman" w:cs="Times New Roman"/>
          <w:sz w:val="28"/>
          <w:szCs w:val="28"/>
        </w:rPr>
        <w:t>на практике</w:t>
      </w:r>
      <w:r w:rsidRPr="00BD2A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2AE6" w:rsidRDefault="00BD2AE6" w:rsidP="00CF4A1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Проявления</w:t>
      </w:r>
      <w:r w:rsidRPr="00BD2A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BD2AE6">
        <w:rPr>
          <w:rFonts w:ascii="Times New Roman" w:hAnsi="Times New Roman" w:cs="Times New Roman"/>
          <w:sz w:val="28"/>
          <w:szCs w:val="28"/>
        </w:rPr>
        <w:t>вристик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D2AE6">
        <w:rPr>
          <w:rFonts w:ascii="Times New Roman" w:hAnsi="Times New Roman" w:cs="Times New Roman"/>
          <w:sz w:val="28"/>
          <w:szCs w:val="28"/>
        </w:rPr>
        <w:t xml:space="preserve"> доступности</w:t>
      </w:r>
      <w:r>
        <w:rPr>
          <w:rFonts w:ascii="Times New Roman" w:hAnsi="Times New Roman" w:cs="Times New Roman"/>
          <w:sz w:val="28"/>
          <w:szCs w:val="28"/>
        </w:rPr>
        <w:t xml:space="preserve"> на практике</w:t>
      </w:r>
      <w:r w:rsidRPr="00BD2A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2AE6" w:rsidRDefault="00BD2AE6" w:rsidP="00CF4A1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Когнитивные искажения и их роль в экономике: кейсы.</w:t>
      </w:r>
    </w:p>
    <w:p w:rsidR="00D024C9" w:rsidRPr="00CF4A1F" w:rsidRDefault="00BD2AE6" w:rsidP="00CF4A1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BD2AE6">
        <w:rPr>
          <w:rFonts w:ascii="Times New Roman" w:hAnsi="Times New Roman" w:cs="Times New Roman"/>
          <w:sz w:val="28"/>
          <w:szCs w:val="28"/>
        </w:rPr>
        <w:t>Теория внутренних (ментальных) счетов</w:t>
      </w:r>
      <w:r>
        <w:rPr>
          <w:rFonts w:ascii="Times New Roman" w:hAnsi="Times New Roman" w:cs="Times New Roman"/>
          <w:sz w:val="28"/>
          <w:szCs w:val="28"/>
        </w:rPr>
        <w:t xml:space="preserve"> на примере принятия финансовых решений </w:t>
      </w:r>
      <w:r w:rsidR="00D024C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моей семь</w:t>
      </w:r>
      <w:r w:rsidR="00D024C9">
        <w:rPr>
          <w:rFonts w:ascii="Times New Roman" w:hAnsi="Times New Roman" w:cs="Times New Roman"/>
          <w:sz w:val="28"/>
          <w:szCs w:val="28"/>
        </w:rPr>
        <w:t>е</w:t>
      </w:r>
      <w:r w:rsidRPr="00BD2A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24C9" w:rsidRDefault="00D024C9" w:rsidP="00CF4A1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г</w:t>
      </w:r>
      <w:r w:rsidR="00BD2AE6" w:rsidRPr="00BD2AE6">
        <w:rPr>
          <w:rFonts w:ascii="Times New Roman" w:hAnsi="Times New Roman" w:cs="Times New Roman"/>
          <w:sz w:val="28"/>
          <w:szCs w:val="28"/>
        </w:rPr>
        <w:t>иперболическо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BD2AE6" w:rsidRPr="00BD2AE6">
        <w:rPr>
          <w:rFonts w:ascii="Times New Roman" w:hAnsi="Times New Roman" w:cs="Times New Roman"/>
          <w:sz w:val="28"/>
          <w:szCs w:val="28"/>
        </w:rPr>
        <w:t xml:space="preserve"> дисконтировани</w:t>
      </w:r>
      <w:r>
        <w:rPr>
          <w:rFonts w:ascii="Times New Roman" w:hAnsi="Times New Roman" w:cs="Times New Roman"/>
          <w:sz w:val="28"/>
          <w:szCs w:val="28"/>
        </w:rPr>
        <w:t>я в экономике</w:t>
      </w:r>
      <w:r w:rsidR="00BD2AE6" w:rsidRPr="00BD2A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24C9" w:rsidRDefault="00BD2AE6" w:rsidP="00CF4A1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BD2AE6">
        <w:rPr>
          <w:rFonts w:ascii="Times New Roman" w:hAnsi="Times New Roman" w:cs="Times New Roman"/>
          <w:sz w:val="28"/>
          <w:szCs w:val="28"/>
        </w:rPr>
        <w:t>Модель «планировщик-деятель»</w:t>
      </w:r>
      <w:r w:rsidR="00D024C9">
        <w:rPr>
          <w:rFonts w:ascii="Times New Roman" w:hAnsi="Times New Roman" w:cs="Times New Roman"/>
          <w:sz w:val="28"/>
          <w:szCs w:val="28"/>
        </w:rPr>
        <w:t xml:space="preserve"> на практике</w:t>
      </w:r>
      <w:r w:rsidRPr="00BD2A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24C9" w:rsidRDefault="00D024C9" w:rsidP="00CF4A1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D2AE6" w:rsidRPr="00BD2AE6">
        <w:rPr>
          <w:rFonts w:ascii="Times New Roman" w:hAnsi="Times New Roman" w:cs="Times New Roman"/>
          <w:sz w:val="28"/>
          <w:szCs w:val="28"/>
        </w:rPr>
        <w:t>лан увеличения сбережений</w:t>
      </w:r>
      <w:r>
        <w:rPr>
          <w:rFonts w:ascii="Times New Roman" w:hAnsi="Times New Roman" w:cs="Times New Roman"/>
          <w:sz w:val="28"/>
          <w:szCs w:val="28"/>
        </w:rPr>
        <w:t xml:space="preserve"> в постсоветских странах</w:t>
      </w:r>
      <w:r w:rsidR="00BD2AE6" w:rsidRPr="00BD2A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2AE6" w:rsidRPr="00BD2AE6" w:rsidRDefault="00BD2AE6" w:rsidP="00CF4A1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BD2AE6">
        <w:rPr>
          <w:rFonts w:ascii="Times New Roman" w:hAnsi="Times New Roman" w:cs="Times New Roman"/>
          <w:sz w:val="28"/>
          <w:szCs w:val="28"/>
        </w:rPr>
        <w:t>Справедливость и социальные предпочтения</w:t>
      </w:r>
      <w:r w:rsidR="00D024C9">
        <w:rPr>
          <w:rFonts w:ascii="Times New Roman" w:hAnsi="Times New Roman" w:cs="Times New Roman"/>
          <w:sz w:val="28"/>
          <w:szCs w:val="28"/>
        </w:rPr>
        <w:t xml:space="preserve"> на практике</w:t>
      </w:r>
      <w:r w:rsidRPr="00BD2AE6">
        <w:rPr>
          <w:rFonts w:ascii="Times New Roman" w:hAnsi="Times New Roman" w:cs="Times New Roman"/>
          <w:sz w:val="28"/>
          <w:szCs w:val="28"/>
        </w:rPr>
        <w:t>.</w:t>
      </w:r>
    </w:p>
    <w:p w:rsidR="00D024C9" w:rsidRDefault="00BD2AE6" w:rsidP="00CF4A1F">
      <w:pPr>
        <w:pStyle w:val="a4"/>
        <w:numPr>
          <w:ilvl w:val="0"/>
          <w:numId w:val="1"/>
        </w:numPr>
        <w:tabs>
          <w:tab w:val="left" w:pos="1134"/>
        </w:tabs>
        <w:ind w:left="1134" w:hanging="567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Роль «центров </w:t>
      </w:r>
      <w:proofErr w:type="spellStart"/>
      <w:r>
        <w:rPr>
          <w:sz w:val="28"/>
          <w:szCs w:val="28"/>
          <w:u w:val="none"/>
        </w:rPr>
        <w:t>подталкиваний</w:t>
      </w:r>
      <w:proofErr w:type="spellEnd"/>
      <w:r>
        <w:rPr>
          <w:sz w:val="28"/>
          <w:szCs w:val="28"/>
          <w:u w:val="none"/>
        </w:rPr>
        <w:t>»</w:t>
      </w:r>
      <w:r w:rsidR="00D024C9">
        <w:rPr>
          <w:sz w:val="28"/>
          <w:szCs w:val="28"/>
          <w:u w:val="none"/>
        </w:rPr>
        <w:t>: кейсы</w:t>
      </w:r>
      <w:r>
        <w:rPr>
          <w:sz w:val="28"/>
          <w:szCs w:val="28"/>
          <w:u w:val="none"/>
        </w:rPr>
        <w:t xml:space="preserve">. </w:t>
      </w:r>
    </w:p>
    <w:p w:rsidR="00D024C9" w:rsidRDefault="00BD2AE6" w:rsidP="00CF4A1F">
      <w:pPr>
        <w:pStyle w:val="a4"/>
        <w:numPr>
          <w:ilvl w:val="0"/>
          <w:numId w:val="1"/>
        </w:numPr>
        <w:tabs>
          <w:tab w:val="left" w:pos="1134"/>
        </w:tabs>
        <w:ind w:left="1134" w:hanging="567"/>
        <w:rPr>
          <w:sz w:val="28"/>
          <w:szCs w:val="28"/>
          <w:u w:val="none"/>
        </w:rPr>
      </w:pPr>
      <w:r w:rsidRPr="00DC1B8D">
        <w:rPr>
          <w:sz w:val="28"/>
          <w:szCs w:val="28"/>
          <w:u w:val="none"/>
        </w:rPr>
        <w:t xml:space="preserve">Практические выводы для экономической политики Республики Беларусь. </w:t>
      </w:r>
    </w:p>
    <w:p w:rsidR="00BD2AE6" w:rsidRPr="00D024C9" w:rsidRDefault="00BD2AE6" w:rsidP="00CF4A1F">
      <w:pPr>
        <w:pStyle w:val="a4"/>
        <w:numPr>
          <w:ilvl w:val="0"/>
          <w:numId w:val="1"/>
        </w:numPr>
        <w:tabs>
          <w:tab w:val="left" w:pos="1134"/>
        </w:tabs>
        <w:ind w:left="1134" w:hanging="567"/>
        <w:rPr>
          <w:sz w:val="28"/>
          <w:szCs w:val="28"/>
          <w:u w:val="none"/>
        </w:rPr>
      </w:pPr>
      <w:r w:rsidRPr="00DC1B8D">
        <w:rPr>
          <w:sz w:val="28"/>
          <w:u w:val="none"/>
        </w:rPr>
        <w:t>Критика подходов поведенческой экономики.</w:t>
      </w:r>
    </w:p>
    <w:p w:rsidR="00BD2AE6" w:rsidRPr="00D024C9" w:rsidRDefault="00D024C9" w:rsidP="00CF4A1F">
      <w:pPr>
        <w:pStyle w:val="a4"/>
        <w:numPr>
          <w:ilvl w:val="0"/>
          <w:numId w:val="1"/>
        </w:numPr>
        <w:tabs>
          <w:tab w:val="left" w:pos="1134"/>
        </w:tabs>
        <w:ind w:left="1134" w:hanging="567"/>
        <w:rPr>
          <w:sz w:val="28"/>
          <w:szCs w:val="28"/>
          <w:u w:val="none"/>
        </w:rPr>
      </w:pPr>
      <w:bookmarkStart w:id="0" w:name="_GoBack"/>
      <w:bookmarkEnd w:id="0"/>
      <w:r>
        <w:rPr>
          <w:sz w:val="28"/>
          <w:u w:val="none"/>
        </w:rPr>
        <w:t>П</w:t>
      </w:r>
      <w:r w:rsidRPr="00DC1B8D">
        <w:rPr>
          <w:sz w:val="28"/>
          <w:u w:val="none"/>
        </w:rPr>
        <w:t>одходов поведенческой экономики</w:t>
      </w:r>
      <w:r>
        <w:rPr>
          <w:sz w:val="28"/>
          <w:u w:val="none"/>
        </w:rPr>
        <w:t xml:space="preserve"> к</w:t>
      </w:r>
      <w:r w:rsidRPr="00D024C9">
        <w:rPr>
          <w:sz w:val="28"/>
          <w:u w:val="none"/>
        </w:rPr>
        <w:t xml:space="preserve"> </w:t>
      </w:r>
      <w:r>
        <w:rPr>
          <w:sz w:val="28"/>
          <w:u w:val="none"/>
        </w:rPr>
        <w:t>(выбор сферы экономической политики или сектор национальной экономики).</w:t>
      </w:r>
    </w:p>
    <w:p w:rsidR="00BD2AE6" w:rsidRPr="00BD2AE6" w:rsidRDefault="00BD2AE6">
      <w:pPr>
        <w:ind w:firstLine="567"/>
        <w:rPr>
          <w:rFonts w:ascii="Times New Roman" w:hAnsi="Times New Roman" w:cs="Times New Roman"/>
          <w:sz w:val="28"/>
        </w:rPr>
      </w:pPr>
    </w:p>
    <w:sectPr w:rsidR="00BD2AE6" w:rsidRPr="00BD2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E542B"/>
    <w:multiLevelType w:val="hybridMultilevel"/>
    <w:tmpl w:val="C4AC84B4"/>
    <w:lvl w:ilvl="0" w:tplc="CA4E975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E6"/>
    <w:rsid w:val="00BD2AE6"/>
    <w:rsid w:val="00CF4A1F"/>
    <w:rsid w:val="00D024C9"/>
    <w:rsid w:val="00DE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6BA2"/>
  <w15:chartTrackingRefBased/>
  <w15:docId w15:val="{614362F4-1EF1-49C6-87D5-D707B76D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A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AE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BD2AE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BD2AE6"/>
    <w:rPr>
      <w:rFonts w:ascii="Times New Roman" w:eastAsia="Times New Roman" w:hAnsi="Times New Roman" w:cs="Times New Roman"/>
      <w:sz w:val="20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Каф.экономической теории</dc:creator>
  <cp:keywords/>
  <dc:description/>
  <cp:lastModifiedBy>Каф.экономической теории</cp:lastModifiedBy>
  <cp:revision>2</cp:revision>
  <dcterms:created xsi:type="dcterms:W3CDTF">2019-05-31T15:23:00Z</dcterms:created>
  <dcterms:modified xsi:type="dcterms:W3CDTF">2022-05-25T10:05:00Z</dcterms:modified>
</cp:coreProperties>
</file>