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9E" w:rsidRPr="0076539E" w:rsidRDefault="0076539E" w:rsidP="00765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9E">
        <w:rPr>
          <w:rFonts w:ascii="Times New Roman" w:hAnsi="Times New Roman" w:cs="Times New Roman"/>
          <w:b/>
          <w:sz w:val="28"/>
          <w:szCs w:val="28"/>
        </w:rPr>
        <w:t>LIST OF QUESTIONS FOR PREPARATION</w:t>
      </w:r>
    </w:p>
    <w:p w:rsidR="0076539E" w:rsidRPr="0076539E" w:rsidRDefault="0076539E" w:rsidP="00765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9E">
        <w:rPr>
          <w:rFonts w:ascii="Times New Roman" w:hAnsi="Times New Roman" w:cs="Times New Roman"/>
          <w:b/>
          <w:sz w:val="28"/>
          <w:szCs w:val="28"/>
        </w:rPr>
        <w:t>FOR THE EXAM IN THE ACADEMIC DISCIPLINE</w:t>
      </w:r>
    </w:p>
    <w:p w:rsidR="0076539E" w:rsidRPr="0076539E" w:rsidRDefault="0076539E" w:rsidP="00765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6539E">
        <w:rPr>
          <w:rFonts w:ascii="Times New Roman" w:hAnsi="Times New Roman" w:cs="Times New Roman"/>
          <w:b/>
          <w:sz w:val="28"/>
          <w:szCs w:val="28"/>
        </w:rPr>
        <w:t>LEGAL REGULATION OF LABOR</w:t>
      </w:r>
    </w:p>
    <w:p w:rsidR="0076539E" w:rsidRPr="0076539E" w:rsidRDefault="0076539E" w:rsidP="00765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9E">
        <w:rPr>
          <w:rFonts w:ascii="Times New Roman" w:hAnsi="Times New Roman" w:cs="Times New Roman"/>
          <w:b/>
          <w:sz w:val="28"/>
          <w:szCs w:val="28"/>
        </w:rPr>
        <w:t>CERTAIN CATEGORIES OF EMPLOYEES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grounds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differentiation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criteria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differentiation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categories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norms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grounds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establishing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specifics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categories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regulatory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acts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establishing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specifics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categories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guarantees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compensations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categories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>.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concluding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hours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>.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termination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Disciplinary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responsibility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members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collegial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executive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>.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Guarantees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restrictions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hiring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responsibilities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establishment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responsibilities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responsibilities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maternity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leave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specifics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provision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guarantees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responsibilities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carrying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transferring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pregnant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guarantees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termination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lastRenderedPageBreak/>
        <w:t>employment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pregnant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responsibilities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>.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hiring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minors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>.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minors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guarantees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eighteen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termination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initiative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responsibility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minor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>.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Realization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disabilities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Advantages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guarantees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disabled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obligations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disability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admission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disabled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disabled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disabled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obligations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disabled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concurrency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professions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positions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Restrictions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part-time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>.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part-time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part-time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termination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part-time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temporary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concluding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terminating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temporary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seasonal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concluding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terminating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seasonal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homeworkers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domestic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>.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athletes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coaches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athletes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coaches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temporary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transfers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engaged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suspension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competitions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engaged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sending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engaged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part-time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engaged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female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athletes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athletes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younger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eighteen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guarantees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compensations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engaged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grounds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termination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engaged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grounds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inclusion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engaged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monetary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compensation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>.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>.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agricultural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engaged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>.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remote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>.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took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liquidation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consequences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Chernobyl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disaster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equated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radioactive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contamination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diplomatic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missions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consular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offices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accredited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9E" w:rsidRPr="0076539E" w:rsidRDefault="0076539E" w:rsidP="007653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E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sent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abroad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DE2" w:rsidRPr="0076539E" w:rsidRDefault="0076539E" w:rsidP="0076539E">
      <w:pPr>
        <w:jc w:val="both"/>
      </w:pPr>
      <w:r w:rsidRPr="0076539E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labor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migrant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immigrant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9E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6539E">
        <w:rPr>
          <w:rFonts w:ascii="Times New Roman" w:hAnsi="Times New Roman" w:cs="Times New Roman"/>
          <w:sz w:val="28"/>
          <w:szCs w:val="28"/>
        </w:rPr>
        <w:t>.</w:t>
      </w:r>
    </w:p>
    <w:sectPr w:rsidR="00692DE2" w:rsidRPr="0076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46"/>
    <w:rsid w:val="001B6FA0"/>
    <w:rsid w:val="002B48C3"/>
    <w:rsid w:val="002F6D52"/>
    <w:rsid w:val="00692DE2"/>
    <w:rsid w:val="0076539E"/>
    <w:rsid w:val="00B8649A"/>
    <w:rsid w:val="00B94A46"/>
    <w:rsid w:val="00E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5FB7"/>
  <w15:docId w15:val="{AFFFA10B-7D98-428D-9E37-08E6A811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</dc:creator>
  <cp:keywords/>
  <dc:description/>
  <cp:lastModifiedBy>user</cp:lastModifiedBy>
  <cp:revision>3</cp:revision>
  <dcterms:created xsi:type="dcterms:W3CDTF">2019-07-02T09:56:00Z</dcterms:created>
  <dcterms:modified xsi:type="dcterms:W3CDTF">2022-01-22T21:03:00Z</dcterms:modified>
</cp:coreProperties>
</file>