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8385" w14:textId="3E026781" w:rsidR="00B84259" w:rsidRPr="00D905A4" w:rsidRDefault="00242C96" w:rsidP="007C5CE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D905A4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Раздел самостоятельной работы</w:t>
      </w:r>
    </w:p>
    <w:p w14:paraId="375B5309" w14:textId="77777777" w:rsidR="00B84259" w:rsidRPr="00D905A4" w:rsidRDefault="00B84259" w:rsidP="007C5CE8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14:paraId="66723C00" w14:textId="0DF627A3" w:rsidR="006019A5" w:rsidRPr="00D905A4" w:rsidRDefault="006019A5" w:rsidP="007C5CE8">
      <w:pPr>
        <w:spacing w:after="0" w:line="300" w:lineRule="exact"/>
        <w:jc w:val="center"/>
        <w:rPr>
          <w:rFonts w:ascii="Times New Roman" w:hAnsi="Times New Roman" w:cs="Times New Roman"/>
          <w:b/>
          <w:color w:val="404040" w:themeColor="text1" w:themeTint="BF"/>
          <w:spacing w:val="-6"/>
          <w:sz w:val="28"/>
          <w:szCs w:val="28"/>
        </w:rPr>
      </w:pPr>
      <w:bookmarkStart w:id="0" w:name="_Hlk215574224"/>
      <w:r w:rsidRPr="00D905A4">
        <w:rPr>
          <w:rFonts w:ascii="Times New Roman" w:hAnsi="Times New Roman" w:cs="Times New Roman"/>
          <w:b/>
          <w:color w:val="404040" w:themeColor="text1" w:themeTint="BF"/>
          <w:spacing w:val="-6"/>
          <w:sz w:val="28"/>
          <w:szCs w:val="28"/>
        </w:rPr>
        <w:t>Перечень тем рефератов</w:t>
      </w:r>
    </w:p>
    <w:p w14:paraId="1A5AD919" w14:textId="1389E617" w:rsidR="001213FA" w:rsidRPr="00D905A4" w:rsidRDefault="001213FA" w:rsidP="001213FA">
      <w:pPr>
        <w:spacing w:after="0" w:line="300" w:lineRule="exact"/>
        <w:jc w:val="center"/>
        <w:rPr>
          <w:rFonts w:ascii="Times New Roman" w:hAnsi="Times New Roman" w:cs="Times New Roman"/>
          <w:b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b/>
          <w:color w:val="404040" w:themeColor="text1" w:themeTint="BF"/>
          <w:spacing w:val="-6"/>
          <w:sz w:val="28"/>
          <w:szCs w:val="28"/>
        </w:rPr>
        <w:t>по учебной дисциплине «Научно-исследовательский семинар»</w:t>
      </w:r>
    </w:p>
    <w:bookmarkEnd w:id="0"/>
    <w:p w14:paraId="4774C083" w14:textId="77777777" w:rsidR="006019A5" w:rsidRPr="00D905A4" w:rsidRDefault="006019A5" w:rsidP="007C5CE8">
      <w:pPr>
        <w:spacing w:after="0" w:line="30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7"/>
          <w:szCs w:val="27"/>
        </w:rPr>
      </w:pPr>
    </w:p>
    <w:p w14:paraId="650A4CBC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7"/>
          <w:szCs w:val="27"/>
        </w:rPr>
        <w:t>1.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7"/>
          <w:szCs w:val="27"/>
        </w:rPr>
        <w:tab/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Методологические основания научного исследования в политологии</w:t>
      </w:r>
    </w:p>
    <w:p w14:paraId="572EBEC2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Особенности научного познания в гуманитарных и социальных науках</w:t>
      </w:r>
    </w:p>
    <w:p w14:paraId="3758F8FC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3.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Логика и структура политического исследования: от проблемы к результату</w:t>
      </w:r>
    </w:p>
    <w:p w14:paraId="6B54B396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4.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Постановка научной проблемы: концептуальные и практические подходы</w:t>
      </w:r>
    </w:p>
    <w:p w14:paraId="2B7A6BBE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5.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Научный аппарат исследования: объект, предмет, цель, задачи и гипотеза</w:t>
      </w:r>
    </w:p>
    <w:p w14:paraId="12842162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6.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Методологический плюрализм в современной политической науке</w:t>
      </w:r>
    </w:p>
    <w:p w14:paraId="72015968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7.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Сравнительный анализ количественных и качественных методов в политологии</w:t>
      </w:r>
    </w:p>
    <w:p w14:paraId="38CFDC73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8.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Интервью как метод исследования политической реальности: достоинства и ограничения</w:t>
      </w:r>
    </w:p>
    <w:p w14:paraId="1948F063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9.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Применение контент-анализа в современных политических исследованиях</w:t>
      </w:r>
    </w:p>
    <w:p w14:paraId="1E3AB9D1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10.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Анкетирование как инструмент сбора эмпирических данных: примеры и ошибки</w:t>
      </w:r>
    </w:p>
    <w:p w14:paraId="4DF75513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11.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Этические стандарты научного исследования: академическая добросовестность</w:t>
      </w:r>
    </w:p>
    <w:p w14:paraId="2487A50D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12.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Академический стиль научного текста: требования и рекомендации</w:t>
      </w:r>
    </w:p>
    <w:p w14:paraId="02D3B3D3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13.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Формирование библиографического аппарата научной работы</w:t>
      </w:r>
    </w:p>
    <w:p w14:paraId="0EA65FCD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14.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Система научной коммуникации: от идеи до публикации</w:t>
      </w:r>
    </w:p>
    <w:p w14:paraId="1FB5ED28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15.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Структура научной статьи: международные и национальные стандарты</w:t>
      </w:r>
    </w:p>
    <w:p w14:paraId="2157CC0F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16.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Подготовка научных тезисов к конференции: типичные проблемы и решения</w:t>
      </w:r>
    </w:p>
    <w:p w14:paraId="403C1B97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17.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Презентация научного доклада: визуализация, аргументация, структура</w:t>
      </w:r>
    </w:p>
    <w:p w14:paraId="5CFB35E9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18.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Психология публичного выступления: как уверенно защищать научную работу</w:t>
      </w:r>
    </w:p>
    <w:p w14:paraId="2C50257B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19.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Типология научных конференций и критерии отбора участников</w:t>
      </w:r>
    </w:p>
    <w:p w14:paraId="19BAA080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20.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Грантовая поддержка молодых исследователей: возможности и риски</w:t>
      </w:r>
    </w:p>
    <w:p w14:paraId="27AC068C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21.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Примеры успешной апробации результатов магистерских исследований</w:t>
      </w:r>
    </w:p>
    <w:p w14:paraId="0D83FD9B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22.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Экспертные сообщества и научные сети как ресурс карьерного развития</w:t>
      </w:r>
    </w:p>
    <w:p w14:paraId="1BA4E77F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23.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Возможности академической мобильности: программы, ресурсы, стратегия участия</w:t>
      </w:r>
    </w:p>
    <w:p w14:paraId="2051B1DB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24.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Политическая аналитика как форма применения научного знания</w:t>
      </w:r>
    </w:p>
    <w:p w14:paraId="7920D34E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25.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Научно-исследовательская деятельность в структуре профессиональной подготовки политолога</w:t>
      </w:r>
    </w:p>
    <w:p w14:paraId="7B5752BD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26.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Стратегии подготовки к защите магистерской диссертации</w:t>
      </w:r>
    </w:p>
    <w:p w14:paraId="600E2328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27.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Самооценка и обратная связь в процессе подготовки к защите</w:t>
      </w:r>
    </w:p>
    <w:p w14:paraId="1967912C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28.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Критерии оценки научной работы в рамках государственной аттестации</w:t>
      </w:r>
    </w:p>
    <w:p w14:paraId="3538FE15" w14:textId="77777777" w:rsidR="006019A5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29.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Роль научного руководителя и научной школы в формировании исследовательской культуры</w:t>
      </w:r>
    </w:p>
    <w:p w14:paraId="6F4074B5" w14:textId="5FDF33E0" w:rsidR="000051C1" w:rsidRPr="00D905A4" w:rsidRDefault="006019A5" w:rsidP="007C5CE8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>30.</w:t>
      </w:r>
      <w:r w:rsidRPr="00D905A4"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  <w:tab/>
        <w:t>Индивидуальная траектория научной карьеры: от магистратуры к аспирантуре</w:t>
      </w:r>
    </w:p>
    <w:sectPr w:rsidR="000051C1" w:rsidRPr="00D905A4" w:rsidSect="0089096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2AE7" w14:textId="77777777" w:rsidR="00D71A55" w:rsidRDefault="00D71A55">
      <w:pPr>
        <w:spacing w:after="0" w:line="240" w:lineRule="auto"/>
      </w:pPr>
      <w:r>
        <w:separator/>
      </w:r>
    </w:p>
  </w:endnote>
  <w:endnote w:type="continuationSeparator" w:id="0">
    <w:p w14:paraId="78DF0983" w14:textId="77777777" w:rsidR="00D71A55" w:rsidRDefault="00D7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E07B" w14:textId="77777777" w:rsidR="00D71A55" w:rsidRDefault="00D71A55">
      <w:pPr>
        <w:spacing w:after="0" w:line="240" w:lineRule="auto"/>
      </w:pPr>
      <w:r>
        <w:separator/>
      </w:r>
    </w:p>
  </w:footnote>
  <w:footnote w:type="continuationSeparator" w:id="0">
    <w:p w14:paraId="5C252129" w14:textId="77777777" w:rsidR="00D71A55" w:rsidRDefault="00D71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1D7"/>
    <w:multiLevelType w:val="hybridMultilevel"/>
    <w:tmpl w:val="F31651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AF78D2"/>
    <w:multiLevelType w:val="hybridMultilevel"/>
    <w:tmpl w:val="A28AF57A"/>
    <w:lvl w:ilvl="0" w:tplc="D25CA834">
      <w:start w:val="1"/>
      <w:numFmt w:val="decimal"/>
      <w:lvlText w:val="%1."/>
      <w:lvlJc w:val="left"/>
      <w:pPr>
        <w:ind w:left="720" w:hanging="360"/>
      </w:pPr>
    </w:lvl>
    <w:lvl w:ilvl="1" w:tplc="514678B8">
      <w:start w:val="1"/>
      <w:numFmt w:val="lowerLetter"/>
      <w:lvlText w:val="%2."/>
      <w:lvlJc w:val="left"/>
      <w:pPr>
        <w:ind w:left="1440" w:hanging="360"/>
      </w:pPr>
    </w:lvl>
    <w:lvl w:ilvl="2" w:tplc="A1CA6180">
      <w:start w:val="1"/>
      <w:numFmt w:val="lowerRoman"/>
      <w:lvlText w:val="%3."/>
      <w:lvlJc w:val="right"/>
      <w:pPr>
        <w:ind w:left="2160" w:hanging="180"/>
      </w:pPr>
    </w:lvl>
    <w:lvl w:ilvl="3" w:tplc="0A4429BE">
      <w:start w:val="1"/>
      <w:numFmt w:val="decimal"/>
      <w:lvlText w:val="%4."/>
      <w:lvlJc w:val="left"/>
      <w:pPr>
        <w:ind w:left="2880" w:hanging="360"/>
      </w:pPr>
    </w:lvl>
    <w:lvl w:ilvl="4" w:tplc="AE069DC2">
      <w:start w:val="1"/>
      <w:numFmt w:val="lowerLetter"/>
      <w:lvlText w:val="%5."/>
      <w:lvlJc w:val="left"/>
      <w:pPr>
        <w:ind w:left="3600" w:hanging="360"/>
      </w:pPr>
    </w:lvl>
    <w:lvl w:ilvl="5" w:tplc="CD804F7A">
      <w:start w:val="1"/>
      <w:numFmt w:val="lowerRoman"/>
      <w:lvlText w:val="%6."/>
      <w:lvlJc w:val="right"/>
      <w:pPr>
        <w:ind w:left="4320" w:hanging="180"/>
      </w:pPr>
    </w:lvl>
    <w:lvl w:ilvl="6" w:tplc="530EC2C8">
      <w:start w:val="1"/>
      <w:numFmt w:val="decimal"/>
      <w:lvlText w:val="%7."/>
      <w:lvlJc w:val="left"/>
      <w:pPr>
        <w:ind w:left="5040" w:hanging="360"/>
      </w:pPr>
    </w:lvl>
    <w:lvl w:ilvl="7" w:tplc="10B42EC8">
      <w:start w:val="1"/>
      <w:numFmt w:val="lowerLetter"/>
      <w:lvlText w:val="%8."/>
      <w:lvlJc w:val="left"/>
      <w:pPr>
        <w:ind w:left="5760" w:hanging="360"/>
      </w:pPr>
    </w:lvl>
    <w:lvl w:ilvl="8" w:tplc="229E65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D4F0E"/>
    <w:multiLevelType w:val="multilevel"/>
    <w:tmpl w:val="0B1C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A2E0B"/>
    <w:multiLevelType w:val="hybridMultilevel"/>
    <w:tmpl w:val="1B32BC12"/>
    <w:lvl w:ilvl="0" w:tplc="8458AF10">
      <w:start w:val="1"/>
      <w:numFmt w:val="decimal"/>
      <w:lvlText w:val="%1."/>
      <w:lvlJc w:val="left"/>
      <w:pPr>
        <w:ind w:left="720" w:hanging="360"/>
      </w:pPr>
    </w:lvl>
    <w:lvl w:ilvl="1" w:tplc="66460F5A">
      <w:start w:val="1"/>
      <w:numFmt w:val="lowerLetter"/>
      <w:lvlText w:val="%2."/>
      <w:lvlJc w:val="left"/>
      <w:pPr>
        <w:ind w:left="1440" w:hanging="360"/>
      </w:pPr>
    </w:lvl>
    <w:lvl w:ilvl="2" w:tplc="65CE153A">
      <w:start w:val="1"/>
      <w:numFmt w:val="lowerRoman"/>
      <w:lvlText w:val="%3."/>
      <w:lvlJc w:val="right"/>
      <w:pPr>
        <w:ind w:left="2160" w:hanging="180"/>
      </w:pPr>
    </w:lvl>
    <w:lvl w:ilvl="3" w:tplc="CB42373A">
      <w:start w:val="1"/>
      <w:numFmt w:val="decimal"/>
      <w:lvlText w:val="%4."/>
      <w:lvlJc w:val="left"/>
      <w:pPr>
        <w:ind w:left="2880" w:hanging="360"/>
      </w:pPr>
    </w:lvl>
    <w:lvl w:ilvl="4" w:tplc="F5345F36">
      <w:start w:val="1"/>
      <w:numFmt w:val="lowerLetter"/>
      <w:lvlText w:val="%5."/>
      <w:lvlJc w:val="left"/>
      <w:pPr>
        <w:ind w:left="3600" w:hanging="360"/>
      </w:pPr>
    </w:lvl>
    <w:lvl w:ilvl="5" w:tplc="FFFC20E2">
      <w:start w:val="1"/>
      <w:numFmt w:val="lowerRoman"/>
      <w:lvlText w:val="%6."/>
      <w:lvlJc w:val="right"/>
      <w:pPr>
        <w:ind w:left="4320" w:hanging="180"/>
      </w:pPr>
    </w:lvl>
    <w:lvl w:ilvl="6" w:tplc="E37EED06">
      <w:start w:val="1"/>
      <w:numFmt w:val="decimal"/>
      <w:lvlText w:val="%7."/>
      <w:lvlJc w:val="left"/>
      <w:pPr>
        <w:ind w:left="5040" w:hanging="360"/>
      </w:pPr>
    </w:lvl>
    <w:lvl w:ilvl="7" w:tplc="8576A65E">
      <w:start w:val="1"/>
      <w:numFmt w:val="lowerLetter"/>
      <w:lvlText w:val="%8."/>
      <w:lvlJc w:val="left"/>
      <w:pPr>
        <w:ind w:left="5760" w:hanging="360"/>
      </w:pPr>
    </w:lvl>
    <w:lvl w:ilvl="8" w:tplc="CF8A8BCC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623966">
    <w:abstractNumId w:val="3"/>
  </w:num>
  <w:num w:numId="2" w16cid:durableId="1937519826">
    <w:abstractNumId w:val="1"/>
  </w:num>
  <w:num w:numId="3" w16cid:durableId="611522088">
    <w:abstractNumId w:val="2"/>
  </w:num>
  <w:num w:numId="4" w16cid:durableId="22781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71"/>
    <w:rsid w:val="000051C1"/>
    <w:rsid w:val="000420B6"/>
    <w:rsid w:val="000450AA"/>
    <w:rsid w:val="000665E4"/>
    <w:rsid w:val="00074FBD"/>
    <w:rsid w:val="000E637F"/>
    <w:rsid w:val="001213FA"/>
    <w:rsid w:val="00242C96"/>
    <w:rsid w:val="00270DA3"/>
    <w:rsid w:val="00362A47"/>
    <w:rsid w:val="00370F61"/>
    <w:rsid w:val="0039461D"/>
    <w:rsid w:val="00417632"/>
    <w:rsid w:val="0044005C"/>
    <w:rsid w:val="00446FCC"/>
    <w:rsid w:val="004E0105"/>
    <w:rsid w:val="006019A5"/>
    <w:rsid w:val="00606846"/>
    <w:rsid w:val="00655055"/>
    <w:rsid w:val="00704EB6"/>
    <w:rsid w:val="00736D9A"/>
    <w:rsid w:val="007C5CE8"/>
    <w:rsid w:val="00822450"/>
    <w:rsid w:val="0088545B"/>
    <w:rsid w:val="00890960"/>
    <w:rsid w:val="008C6F85"/>
    <w:rsid w:val="00937B93"/>
    <w:rsid w:val="009F6DE4"/>
    <w:rsid w:val="00A97DF0"/>
    <w:rsid w:val="00B263AD"/>
    <w:rsid w:val="00B76E71"/>
    <w:rsid w:val="00B84259"/>
    <w:rsid w:val="00BB62F5"/>
    <w:rsid w:val="00BD26D8"/>
    <w:rsid w:val="00C346B9"/>
    <w:rsid w:val="00D71A55"/>
    <w:rsid w:val="00D72A06"/>
    <w:rsid w:val="00D905A4"/>
    <w:rsid w:val="00DD53B6"/>
    <w:rsid w:val="00DE0953"/>
    <w:rsid w:val="00EB20F1"/>
    <w:rsid w:val="00EE2CE6"/>
    <w:rsid w:val="00F6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D132"/>
  <w15:docId w15:val="{044066A4-8C40-4076-A780-C8501939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65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655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Каф.политологии</dc:creator>
  <cp:lastModifiedBy>Каф.политологии</cp:lastModifiedBy>
  <cp:revision>4</cp:revision>
  <cp:lastPrinted>2025-12-02T10:26:00Z</cp:lastPrinted>
  <dcterms:created xsi:type="dcterms:W3CDTF">2025-12-02T10:25:00Z</dcterms:created>
  <dcterms:modified xsi:type="dcterms:W3CDTF">2025-12-02T10:26:00Z</dcterms:modified>
</cp:coreProperties>
</file>