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426" w:hanging="42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РЕКОМЕНДОВАННОЙ ЛИТЕРАТУРЫ</w:t>
      </w:r>
    </w:p>
    <w:p>
      <w:pPr>
        <w:pStyle w:val="Style33"/>
        <w:widowControl/>
        <w:jc w:val="center"/>
        <w:rPr/>
      </w:pPr>
      <w:r>
        <w:rPr>
          <w:rStyle w:val="FontStyle39"/>
          <w:rFonts w:ascii="Times New Roman" w:hAnsi="Times New Roman"/>
          <w:sz w:val="28"/>
          <w:szCs w:val="28"/>
        </w:rPr>
        <w:t>Основная :</w:t>
      </w:r>
    </w:p>
    <w:p>
      <w:pPr>
        <w:pStyle w:val="Style33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3"/>
        <w:widowControl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Горохов, В.Г. Введение в философию техники / В.Г. Горохов, В.М. Розин. – М.: ИНФА-М, 1998. – 224 с. – (Высшее образование).</w:t>
      </w:r>
    </w:p>
    <w:p>
      <w:pPr>
        <w:pStyle w:val="Style33"/>
        <w:widowControl/>
        <w:numPr>
          <w:ilvl w:val="0"/>
          <w:numId w:val="2"/>
        </w:numPr>
        <w:jc w:val="both"/>
        <w:rPr/>
      </w:pPr>
      <w:bookmarkStart w:id="0" w:name="__DdeLink__1600_1027425375"/>
      <w:bookmarkEnd w:id="0"/>
      <w:r>
        <w:rPr>
          <w:rFonts w:ascii="Times New Roman" w:hAnsi="Times New Roman"/>
          <w:sz w:val="28"/>
          <w:szCs w:val="28"/>
        </w:rPr>
        <w:t>Грунвальд, А. Техника и общество. Западноевропейский опыт исследования социальных последствий научно-технического развития / А. Грунвальд. –  М. : Логос, 2011. – 160 с.</w:t>
      </w:r>
    </w:p>
    <w:p>
      <w:pPr>
        <w:pStyle w:val="Style33"/>
        <w:widowControl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Некрасова, НА. История и философия техники: Учебное пособие / Н.А. Некрасова, С.И.Некрасов. - М.: МГУПС (МИИТ), 2014. -80 с.</w:t>
      </w:r>
    </w:p>
    <w:p>
      <w:pPr>
        <w:pStyle w:val="Style33"/>
        <w:widowControl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Розин, В.М. Понятие и современные концепции техники / В. М. Розин. – М., 2006. – 255 с.</w:t>
      </w:r>
    </w:p>
    <w:p>
      <w:pPr>
        <w:pStyle w:val="Style33"/>
        <w:widowControl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</w:rPr>
        <w:t>Степин,  В. С.   Философия науки и техники : Учеб. пособие для вузов / В.С. Степин [и др.] – М.: Фирма "Гардарика", 1996. –  399 с.</w:t>
      </w:r>
    </w:p>
    <w:p>
      <w:pPr>
        <w:pStyle w:val="Style21"/>
        <w:widowControl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21"/>
        <w:widowControl/>
        <w:ind w:firstLine="720"/>
        <w:jc w:val="center"/>
        <w:rPr/>
      </w:pPr>
      <w:r>
        <w:rPr>
          <w:rStyle w:val="FontStyle38"/>
          <w:rFonts w:ascii="Times New Roman" w:hAnsi="Times New Roman"/>
          <w:b/>
          <w:bCs/>
          <w:sz w:val="28"/>
          <w:szCs w:val="28"/>
        </w:rPr>
        <w:t>Дополнительная:</w:t>
      </w:r>
    </w:p>
    <w:p>
      <w:pPr>
        <w:pStyle w:val="ListParagraph"/>
        <w:widowControl/>
        <w:numPr>
          <w:ilvl w:val="0"/>
          <w:numId w:val="0"/>
        </w:numPr>
        <w:ind w:left="720" w:hanging="0"/>
        <w:jc w:val="both"/>
        <w:rPr>
          <w:rStyle w:val="FontStyle39"/>
          <w:rFonts w:ascii="Times New Roman" w:hAnsi="Times New Roman" w:eastAsia="Times New Roman" w:cs="Times New Roman"/>
          <w:b w:val="false"/>
          <w:b w:val="false"/>
          <w:color w:val="00000A"/>
          <w:sz w:val="28"/>
          <w:szCs w:val="28"/>
          <w:highlight w:val="white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color w:val="00000A"/>
          <w:sz w:val="28"/>
          <w:szCs w:val="28"/>
          <w:highlight w:val="white"/>
          <w:highlight w:val="white"/>
          <w:lang w:val="ru-RU" w:eastAsia="ru-RU" w:bidi="ar-SA"/>
        </w:rPr>
      </w:r>
    </w:p>
    <w:p>
      <w:pPr>
        <w:pStyle w:val="Style33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Бодрийяр, Ж. Система вещей / Ж. Бодрийяр / Пер. с фр. С. Зенкина. – М.: Рудомино, 1995. – 172 с.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val="ru-RU" w:eastAsia="ru-RU" w:bidi="ar-SA"/>
        </w:rPr>
        <w:t>Верещако, А.И. Акторно-сетевая теория в контексте современной философии техники [Электронный ресурс] / А.И. Верещако // Современная философия и национальный культурный ландшафт : материалы XII междисциплинар. науч.-теорет. семинара «Инновационные стратегии в современной социальной филосо-фии», Респ. Беларусь, Минск, 21 марта 2018 г. / Белорус. гос. ун-т ; ред-кол.: А.И. Зеленков (отв. ред.) [и др.]. – Минск : БГУ, 2018. – 1 электрон. опт. диск (CD-ROM).</w:t>
      </w:r>
    </w:p>
    <w:p>
      <w:pPr>
        <w:pStyle w:val="Normal"/>
        <w:widowControl/>
        <w:numPr>
          <w:ilvl w:val="0"/>
          <w:numId w:val="1"/>
        </w:numPr>
        <w:jc w:val="both"/>
        <w:rPr/>
      </w:pPr>
      <w:r>
        <w:rPr>
          <w:rStyle w:val="FontStyle39"/>
          <w:rFonts w:eastAsia="Times New Roman" w:cs="Times New Roman" w:ascii="Times New Roman" w:hAnsi="Times New Roman"/>
          <w:b w:val="false"/>
          <w:color w:val="00000A"/>
          <w:sz w:val="28"/>
          <w:szCs w:val="28"/>
          <w:lang w:val="ru-RU" w:eastAsia="ru-RU" w:bidi="ar-SA"/>
        </w:rPr>
        <w:t>Верещако, А.И. Предмет и проблемное поле современной онтологии техники / А.И. Верещако //  Витебский государственный университет имени П.М. Машерова. Ученые записки УО "ВГУ им. П. М. Машерова" : сборник научных трудов. - Витебск : ВГУ имени П. М. Машерова, 2018. - Т. 26. - С. 121-127.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Верещако, А. Философия техники О. Шпенглера: машинная рациональность и современность / А. Верещако // Проблемы социокультурных и кросскультурных взаимодействий: взгляд молодых ученых : сб. ст. / ред. Кол.: Ю.Г. Черняк [и др.]. – Минск : РИВШ, 2017.  –  С. 27-34.</w:t>
      </w:r>
    </w:p>
    <w:p>
      <w:pPr>
        <w:pStyle w:val="Style33"/>
        <w:widowControl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</w:rPr>
        <w:t>Верещако, А.И. Основные исследовательские стратегии философии техники / А.И. Верещако // Веснік Беларускага дзяржаўнага эканамічнаг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а ўніверсітэта. – 2018. – № 1. – С. 115–121.</w:t>
      </w:r>
    </w:p>
    <w:p>
      <w:pPr>
        <w:pStyle w:val="Style33"/>
        <w:widowControl/>
        <w:numPr>
          <w:ilvl w:val="0"/>
          <w:numId w:val="1"/>
        </w:numPr>
        <w:jc w:val="both"/>
        <w:rPr/>
      </w:pPr>
      <w:r>
        <w:rPr>
          <w:rStyle w:val="FontStyle39"/>
          <w:rFonts w:eastAsia="Times New Roman" w:cs="Times New Roman" w:ascii="Times New Roman" w:hAnsi="Times New Roman"/>
          <w:b w:val="false"/>
          <w:color w:val="00000A"/>
          <w:sz w:val="28"/>
          <w:szCs w:val="28"/>
          <w:lang w:val="ru-RU" w:eastAsia="ru-RU" w:bidi="ar-SA"/>
        </w:rPr>
        <w:t>Верещако, А.И. Проблема онтологического статуса техники в концепциях О. Шпенглера и Ж. Симондона / А.И. Верещако // Журн. Белорус. гос. ун-та. Философия. Психология, 2017. – № 3. – С. 40-44.</w:t>
      </w:r>
    </w:p>
    <w:p>
      <w:pPr>
        <w:pStyle w:val="Normal"/>
        <w:widowControl/>
        <w:numPr>
          <w:ilvl w:val="0"/>
          <w:numId w:val="1"/>
        </w:numPr>
        <w:jc w:val="both"/>
        <w:rPr/>
      </w:pPr>
      <w:r>
        <w:rPr>
          <w:rStyle w:val="FontStyle39"/>
          <w:rFonts w:eastAsia="Times New Roman" w:cs="Times New Roman" w:ascii="Times New Roman" w:hAnsi="Times New Roman"/>
          <w:b w:val="false"/>
          <w:color w:val="00000A"/>
          <w:sz w:val="28"/>
          <w:szCs w:val="28"/>
          <w:highlight w:val="white"/>
          <w:lang w:val="ru-RU" w:eastAsia="ru-RU" w:bidi="ar-SA"/>
        </w:rPr>
        <w:t>Гриневич, Е.А. Страх и упоение техникой в современном обществе потребления (Ж. Бодрийяр) / Е.А. Гриневич, А.И. Верещако // Религия и письменность как факторы формирования славянской культуры: сборник докладов XXIII международных Кирилло-Мефодиевских чтений / ГУО «Институт теологии имени святых Мефодия и Кирилла» БГУ: ред.-сост.: С. И. Шатравский, священник Святослав Рогальский.– Мн.: ООО "Позитив-центр", 2018. . –  С. 250-252.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val="ru-RU" w:eastAsia="ru-RU" w:bidi="ar-SA"/>
        </w:rPr>
        <w:t xml:space="preserve">Мэтьюмен, С., Мишель Фуко, Технология и Акторно-сетевая теория / пер. с англ. А.И. Верещако // Топос. Литературно-философский журнал – [Электронный ресурс]. – Режим доступа : </w:t>
      </w:r>
      <w:bookmarkStart w:id="1" w:name="__DdeLink__26_1317465738"/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val="ru-RU" w:eastAsia="ru-RU" w:bidi="ar-SA"/>
        </w:rPr>
        <w:t>http://www.topos.ru/article/ontologicheskie-progulki/mishel-fuko-tehnologiya-i-aktorno-setevaya-teoriya</w:t>
      </w:r>
      <w:bookmarkEnd w:id="1"/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val="ru-RU" w:eastAsia="ru-RU" w:bidi="ar-SA"/>
        </w:rPr>
        <w:t xml:space="preserve"> – Дата доступа: 21.11.18.</w:t>
      </w:r>
    </w:p>
    <w:p>
      <w:pPr>
        <w:pStyle w:val="Style33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Тавризян, Г. М. Философы  XX века о технике и «технической цивилизации» / Г. М, Тавризян.  – М.: Российская политическая энциклопедия (РОССПЭН), 2009. – 216 с.: ил. (Humanitas).</w:t>
      </w:r>
    </w:p>
    <w:p>
      <w:pPr>
        <w:pStyle w:val="Style33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Философия техники в ФРГ : [Сб. ст.] / Сост. и предисл. [с. 3―23] Ц. Г. Арзаканяна, В. Г. Горохова ; пер. с нем. и англ. Ц. Г. Арзаканяна и др. - М. : Прогресс, 1989. - 527 с.</w:t>
      </w:r>
    </w:p>
    <w:p>
      <w:pPr>
        <w:pStyle w:val="Style33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Хайдеггер, М. Вопрос о технике / М. Хайдеггер ; пер. с нем.  В.В. Бибихина // Время и бытие: Статьи и выступления. – СПб.: Наука, 2007. – С. 306–330. – (Серия «Слово о сущем»; Т. 70).</w:t>
      </w:r>
    </w:p>
    <w:p>
      <w:pPr>
        <w:pStyle w:val="Style33"/>
        <w:widowControl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Хомич, Е.В. Постантропологический кризис как ирония истории / Е.В. Хомич // Синтез философии, науки и культуры. К 80-летию академика В.С. Стёпина / ред. кол.: А.Н. Данилов (отв. ред.) [и др.] – Минск: БГУ, 2014. – С. 312–321</w:t>
      </w:r>
    </w:p>
    <w:p>
      <w:pPr>
        <w:pStyle w:val="Style33"/>
        <w:widowControl/>
        <w:numPr>
          <w:ilvl w:val="0"/>
          <w:numId w:val="1"/>
        </w:numPr>
        <w:tabs>
          <w:tab w:val="clear" w:pos="708"/>
          <w:tab w:val="left" w:pos="791" w:leader="none"/>
          <w:tab w:val="left" w:pos="1336" w:leader="none"/>
        </w:tabs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Хоркхаймер, М. Диалектика просвещения : Филос. фрагм / М. Хоркхаймер, Т. Адорно ; пер. с нем М.Кузнецова. – М.: Медиум. – СПб. : Ювента, 1997. – 310 с.</w:t>
      </w:r>
    </w:p>
    <w:p>
      <w:pPr>
        <w:pStyle w:val="Style33"/>
        <w:widowControl/>
        <w:numPr>
          <w:ilvl w:val="0"/>
          <w:numId w:val="1"/>
        </w:numPr>
        <w:tabs>
          <w:tab w:val="clear" w:pos="708"/>
          <w:tab w:val="left" w:pos="736" w:leader="none"/>
          <w:tab w:val="left" w:pos="791" w:leader="none"/>
        </w:tabs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Энгельмейер, П. К.  Теория творчества / П. К. Энгельмейер; с предисловиями Д. Н. Овсянико-Куликовского и Эрнста Маха. - Москва : URSS : ЛКИ, 2007. - 204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289"/>
    <w:pPr>
      <w:widowControl/>
      <w:bidi w:val="0"/>
      <w:spacing w:lineRule="auto" w:line="276" w:before="0" w:after="0"/>
      <w:jc w:val="center"/>
    </w:pPr>
    <w:rPr>
      <w:rFonts w:ascii="Calibri" w:hAnsi="Calibri" w:eastAsia="Calibri" w:cs="Arial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38" w:customStyle="1">
    <w:name w:val="Font Style38"/>
    <w:uiPriority w:val="99"/>
    <w:qFormat/>
    <w:rsid w:val="001d2289"/>
    <w:rPr>
      <w:rFonts w:ascii="Times New Roman" w:hAnsi="Times New Roman" w:cs="Times New Roman"/>
      <w:sz w:val="26"/>
      <w:szCs w:val="26"/>
    </w:rPr>
  </w:style>
  <w:style w:type="character" w:styleId="FontStyle39" w:customStyle="1">
    <w:name w:val="Font Style39"/>
    <w:uiPriority w:val="99"/>
    <w:qFormat/>
    <w:rsid w:val="001d2289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qFormat/>
    <w:rPr>
      <w:rFonts w:ascii="Times New Roman" w:hAnsi="Times New Roman" w:cs="Times New Roman"/>
      <w:b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d2289"/>
    <w:pPr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Style21" w:customStyle="1">
    <w:name w:val="Style2"/>
    <w:basedOn w:val="Normal"/>
    <w:uiPriority w:val="99"/>
    <w:qFormat/>
    <w:rsid w:val="001d2289"/>
    <w:pPr>
      <w:widowControl w:val="false"/>
      <w:spacing w:lineRule="auto" w:line="24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33" w:customStyle="1">
    <w:name w:val="Style33"/>
    <w:basedOn w:val="Normal"/>
    <w:uiPriority w:val="99"/>
    <w:qFormat/>
    <w:rsid w:val="001d2289"/>
    <w:pPr>
      <w:widowControl w:val="false"/>
      <w:spacing w:lineRule="auto" w:line="240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LibreOffice/6.1.4.2$Linux_X86_64 LibreOffice_project/10$Build-2</Application>
  <Pages>2</Pages>
  <Words>601</Words>
  <Characters>3393</Characters>
  <CharactersWithSpaces>3997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2017-12-01T06:17:00Z</dcterms:created>
  <dc:creator>kfil</dc:creator>
  <dc:description/>
  <dc:language>ru-RU</dc:language>
  <cp:lastModifiedBy/>
  <cp:lastPrinted>2017-12-01T06:23:00Z</cp:lastPrinted>
  <dcterms:modified xsi:type="dcterms:W3CDTF">2019-01-16T10:14:37Z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