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Default="002D1521" w:rsidP="002D1521">
      <w:pPr>
        <w:jc w:val="center"/>
        <w:rPr>
          <w:bCs/>
          <w:sz w:val="28"/>
          <w:szCs w:val="28"/>
        </w:rPr>
      </w:pPr>
    </w:p>
    <w:p w:rsidR="002D1521" w:rsidRPr="004F3385" w:rsidRDefault="002D1521" w:rsidP="002D1521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spacing w:after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2D1521" w:rsidRPr="00FA1491" w:rsidTr="00235D2A">
        <w:tc>
          <w:tcPr>
            <w:tcW w:w="4927" w:type="dxa"/>
          </w:tcPr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Утверждаю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Ректор у</w:t>
            </w:r>
            <w:r w:rsidRPr="00FA1491">
              <w:rPr>
                <w:bCs/>
                <w:sz w:val="28"/>
                <w:szCs w:val="28"/>
              </w:rPr>
              <w:t>чреждения образования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«Белорусский государственный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экономический университет»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________________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1491">
              <w:rPr>
                <w:bCs/>
                <w:sz w:val="28"/>
                <w:szCs w:val="28"/>
              </w:rPr>
              <w:t>Н.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A1491">
              <w:rPr>
                <w:bCs/>
                <w:sz w:val="28"/>
                <w:szCs w:val="28"/>
              </w:rPr>
              <w:t>Шимов</w:t>
            </w:r>
            <w:proofErr w:type="spellEnd"/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декабря 2014 г.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Регистрационный № УД</w:t>
            </w:r>
            <w:r>
              <w:rPr>
                <w:bCs/>
                <w:sz w:val="28"/>
                <w:szCs w:val="28"/>
              </w:rPr>
              <w:t>1666-14</w:t>
            </w:r>
            <w:r w:rsidRPr="00FA1491">
              <w:rPr>
                <w:bCs/>
                <w:sz w:val="28"/>
                <w:szCs w:val="28"/>
              </w:rPr>
              <w:t>/баз.</w:t>
            </w:r>
          </w:p>
        </w:tc>
      </w:tr>
    </w:tbl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Pr="0094226D" w:rsidRDefault="002D1521" w:rsidP="002D1521">
      <w:pPr>
        <w:jc w:val="center"/>
        <w:rPr>
          <w:bCs/>
          <w:sz w:val="28"/>
          <w:szCs w:val="28"/>
        </w:rPr>
      </w:pPr>
      <w:r>
        <w:rPr>
          <w:b/>
          <w:sz w:val="28"/>
        </w:rPr>
        <w:t>СТРАТЕГИЯ И ТАКТИКА ФИНАНСОВОГО ПОВЕДЕНИЯ ТОРГОВЫХ ОРГАНИЗАЦИЙ</w:t>
      </w:r>
      <w:r w:rsidRPr="00952771">
        <w:rPr>
          <w:bCs/>
          <w:sz w:val="28"/>
          <w:szCs w:val="28"/>
        </w:rPr>
        <w:t xml:space="preserve"> </w:t>
      </w:r>
    </w:p>
    <w:p w:rsidR="002D1521" w:rsidRPr="00952771" w:rsidRDefault="002D1521" w:rsidP="002D1521">
      <w:pPr>
        <w:jc w:val="center"/>
        <w:rPr>
          <w:bCs/>
          <w:sz w:val="28"/>
          <w:szCs w:val="28"/>
        </w:rPr>
      </w:pPr>
      <w:r w:rsidRPr="00952771">
        <w:rPr>
          <w:bCs/>
          <w:sz w:val="28"/>
          <w:szCs w:val="28"/>
        </w:rPr>
        <w:t>Учебная программа учреждения высшего образования по учебной дисциплине для магистрантов по специальности</w:t>
      </w:r>
      <w:r>
        <w:rPr>
          <w:bCs/>
          <w:sz w:val="28"/>
          <w:szCs w:val="28"/>
        </w:rPr>
        <w:t xml:space="preserve"> </w:t>
      </w:r>
      <w:r w:rsidRPr="00952771">
        <w:rPr>
          <w:bCs/>
          <w:sz w:val="28"/>
          <w:szCs w:val="28"/>
        </w:rPr>
        <w:t>1-25 81 09 «Коммерческая деятельность»</w:t>
      </w: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Pr="004F3385" w:rsidRDefault="002D1521" w:rsidP="002D1521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2014</w:t>
      </w:r>
    </w:p>
    <w:p w:rsidR="002D1521" w:rsidRDefault="002D1521" w:rsidP="002D1521">
      <w:pPr>
        <w:rPr>
          <w:b/>
          <w:caps/>
          <w:sz w:val="28"/>
        </w:rPr>
      </w:pPr>
    </w:p>
    <w:p w:rsidR="002D1521" w:rsidRDefault="002D1521" w:rsidP="002D1521">
      <w:pPr>
        <w:rPr>
          <w:b/>
          <w:sz w:val="28"/>
        </w:rPr>
      </w:pPr>
      <w:r>
        <w:rPr>
          <w:b/>
          <w:caps/>
          <w:sz w:val="28"/>
        </w:rPr>
        <w:t>СоставителИ</w:t>
      </w:r>
      <w:r w:rsidRPr="005A18FC">
        <w:rPr>
          <w:b/>
          <w:sz w:val="28"/>
        </w:rPr>
        <w:t>:</w:t>
      </w:r>
    </w:p>
    <w:p w:rsidR="002D1521" w:rsidRPr="00841743" w:rsidRDefault="002D1521" w:rsidP="002D1521">
      <w:pPr>
        <w:rPr>
          <w:sz w:val="28"/>
        </w:rPr>
      </w:pPr>
      <w:r>
        <w:rPr>
          <w:i/>
          <w:sz w:val="28"/>
        </w:rPr>
        <w:t>Микулич И.М</w:t>
      </w:r>
      <w:r w:rsidRPr="005A18FC">
        <w:rPr>
          <w:i/>
          <w:sz w:val="28"/>
        </w:rPr>
        <w:t>.</w:t>
      </w:r>
      <w:r>
        <w:rPr>
          <w:sz w:val="28"/>
        </w:rPr>
        <w:t>, заведующий кафедрой экономики торговли у</w:t>
      </w:r>
      <w:r w:rsidRPr="005A18FC">
        <w:rPr>
          <w:sz w:val="28"/>
        </w:rPr>
        <w:t>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</w:rPr>
        <w:t>.</w:t>
      </w:r>
    </w:p>
    <w:p w:rsidR="002D1521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Cs/>
          <w:i/>
          <w:iCs/>
          <w:sz w:val="28"/>
        </w:rPr>
      </w:pPr>
      <w:r w:rsidRPr="005A18FC">
        <w:rPr>
          <w:b/>
          <w:caps/>
          <w:sz w:val="28"/>
        </w:rPr>
        <w:t>Рецензенты</w:t>
      </w:r>
      <w:r w:rsidRPr="005A18FC">
        <w:rPr>
          <w:b/>
          <w:sz w:val="28"/>
        </w:rPr>
        <w:t xml:space="preserve">: </w:t>
      </w: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Pr="00187D76" w:rsidRDefault="002D1521" w:rsidP="002D1521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187D76">
        <w:rPr>
          <w:rFonts w:eastAsia="Calibri"/>
          <w:i/>
          <w:sz w:val="28"/>
          <w:szCs w:val="28"/>
        </w:rPr>
        <w:t>Жаркова</w:t>
      </w:r>
      <w:proofErr w:type="spellEnd"/>
      <w:r w:rsidRPr="00187D76">
        <w:rPr>
          <w:rFonts w:eastAsia="Calibri"/>
          <w:i/>
          <w:sz w:val="28"/>
          <w:szCs w:val="28"/>
        </w:rPr>
        <w:t xml:space="preserve"> Л.К.</w:t>
      </w:r>
      <w:r w:rsidRPr="00187D76">
        <w:rPr>
          <w:rFonts w:eastAsia="Calibri"/>
          <w:sz w:val="28"/>
          <w:szCs w:val="28"/>
        </w:rPr>
        <w:t xml:space="preserve">, заместитель начальника Государственного учреждения «Главное управления потребительского рынка </w:t>
      </w:r>
      <w:proofErr w:type="spellStart"/>
      <w:r w:rsidRPr="00187D76">
        <w:rPr>
          <w:rFonts w:eastAsia="Calibri"/>
          <w:sz w:val="28"/>
          <w:szCs w:val="28"/>
        </w:rPr>
        <w:t>Мингорисполкома</w:t>
      </w:r>
      <w:proofErr w:type="spellEnd"/>
      <w:r w:rsidRPr="00187D76">
        <w:rPr>
          <w:rFonts w:eastAsia="Calibri"/>
          <w:sz w:val="28"/>
          <w:szCs w:val="28"/>
        </w:rPr>
        <w:t>»;</w:t>
      </w:r>
    </w:p>
    <w:p w:rsidR="002D1521" w:rsidRPr="00187D76" w:rsidRDefault="002D1521" w:rsidP="002D1521">
      <w:pPr>
        <w:rPr>
          <w:rFonts w:eastAsia="Calibri"/>
          <w:sz w:val="28"/>
        </w:rPr>
      </w:pPr>
      <w:r w:rsidRPr="00187D76">
        <w:rPr>
          <w:rFonts w:eastAsia="Calibri"/>
          <w:i/>
          <w:sz w:val="28"/>
        </w:rPr>
        <w:t>Климченя Л.С.,</w:t>
      </w:r>
      <w:r w:rsidRPr="00187D76">
        <w:rPr>
          <w:rFonts w:eastAsia="Calibri"/>
          <w:sz w:val="28"/>
        </w:rPr>
        <w:t xml:space="preserve"> заведующий кафедрой коммерческой деятельности на внутреннем и внешнем рынках учреждения образования «Белорусский государственный экономический университет», </w:t>
      </w:r>
      <w:r w:rsidRPr="00187D76">
        <w:rPr>
          <w:rFonts w:eastAsia="Calibri"/>
          <w:sz w:val="28"/>
          <w:szCs w:val="28"/>
        </w:rPr>
        <w:t>кандидат экономических наук</w:t>
      </w:r>
      <w:r w:rsidRPr="00187D76">
        <w:rPr>
          <w:rFonts w:eastAsia="Calibri"/>
          <w:sz w:val="28"/>
        </w:rPr>
        <w:t>, доцент.</w:t>
      </w: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Pr="005A18FC" w:rsidRDefault="002D1521" w:rsidP="002D1521">
      <w:pPr>
        <w:rPr>
          <w:b/>
          <w:caps/>
          <w:sz w:val="28"/>
        </w:rPr>
      </w:pPr>
      <w:proofErr w:type="gramStart"/>
      <w:r w:rsidRPr="005A18FC">
        <w:rPr>
          <w:b/>
          <w:caps/>
          <w:sz w:val="28"/>
        </w:rPr>
        <w:t>Рекомендована</w:t>
      </w:r>
      <w:proofErr w:type="gramEnd"/>
      <w:r w:rsidRPr="005A18FC">
        <w:rPr>
          <w:b/>
          <w:caps/>
          <w:sz w:val="28"/>
        </w:rPr>
        <w:t xml:space="preserve"> к утверждению:</w:t>
      </w: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Кафедрой </w:t>
      </w:r>
      <w:r w:rsidRPr="005206A1">
        <w:rPr>
          <w:sz w:val="28"/>
        </w:rPr>
        <w:t>экономики торговли</w:t>
      </w:r>
      <w:r w:rsidRPr="005A18FC">
        <w:rPr>
          <w:sz w:val="28"/>
        </w:rPr>
        <w:t xml:space="preserve"> Учреждения образования «Белорусский государственный экономический университет»</w:t>
      </w: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(протокол № </w:t>
      </w:r>
      <w:r w:rsidRPr="007C359E">
        <w:rPr>
          <w:sz w:val="28"/>
        </w:rPr>
        <w:t>1</w:t>
      </w:r>
      <w:r w:rsidRPr="005A18FC">
        <w:rPr>
          <w:sz w:val="28"/>
        </w:rPr>
        <w:t xml:space="preserve"> от </w:t>
      </w:r>
      <w:r w:rsidRPr="007C359E">
        <w:rPr>
          <w:sz w:val="28"/>
        </w:rPr>
        <w:t xml:space="preserve">28 </w:t>
      </w:r>
      <w:r>
        <w:rPr>
          <w:sz w:val="28"/>
        </w:rPr>
        <w:t xml:space="preserve">августа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2D1521" w:rsidRPr="005A18FC" w:rsidRDefault="002D1521" w:rsidP="002D1521">
      <w:pPr>
        <w:rPr>
          <w:sz w:val="28"/>
        </w:rPr>
      </w:pP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2D1521" w:rsidRPr="005A18FC" w:rsidRDefault="002D1521" w:rsidP="002D1521">
      <w:pPr>
        <w:rPr>
          <w:sz w:val="28"/>
        </w:rPr>
      </w:pPr>
      <w:r>
        <w:rPr>
          <w:sz w:val="28"/>
        </w:rPr>
        <w:t>(протокол № 2</w:t>
      </w:r>
      <w:r w:rsidRPr="005A18FC">
        <w:rPr>
          <w:sz w:val="28"/>
        </w:rPr>
        <w:t xml:space="preserve"> от </w:t>
      </w:r>
      <w:r>
        <w:rPr>
          <w:sz w:val="28"/>
        </w:rPr>
        <w:t xml:space="preserve">3 декабря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Cs/>
          <w:sz w:val="28"/>
        </w:rPr>
      </w:pPr>
      <w:proofErr w:type="gramStart"/>
      <w:r>
        <w:rPr>
          <w:bCs/>
          <w:sz w:val="28"/>
        </w:rPr>
        <w:t>Ответственный</w:t>
      </w:r>
      <w:proofErr w:type="gramEnd"/>
      <w:r>
        <w:rPr>
          <w:bCs/>
          <w:sz w:val="28"/>
        </w:rPr>
        <w:t xml:space="preserve"> за редакцию: Микулич И.М.</w:t>
      </w:r>
    </w:p>
    <w:p w:rsidR="002D1521" w:rsidRPr="005A18FC" w:rsidRDefault="002D1521" w:rsidP="002D1521">
      <w:pPr>
        <w:rPr>
          <w:bCs/>
          <w:sz w:val="28"/>
        </w:rPr>
      </w:pPr>
      <w:proofErr w:type="gramStart"/>
      <w:r w:rsidRPr="005A18FC">
        <w:rPr>
          <w:bCs/>
          <w:sz w:val="28"/>
        </w:rPr>
        <w:t>Ответственный за выпуск:</w:t>
      </w:r>
      <w:proofErr w:type="gramEnd"/>
      <w:r w:rsidRPr="005A18FC">
        <w:rPr>
          <w:bCs/>
          <w:sz w:val="28"/>
        </w:rPr>
        <w:t xml:space="preserve"> </w:t>
      </w:r>
      <w:r>
        <w:rPr>
          <w:bCs/>
          <w:sz w:val="28"/>
        </w:rPr>
        <w:t>Микулич И.М.</w:t>
      </w:r>
    </w:p>
    <w:p w:rsidR="002D1521" w:rsidRPr="005A18FC" w:rsidRDefault="002D1521" w:rsidP="002D1521"/>
    <w:p w:rsidR="002D1521" w:rsidRDefault="002D1521" w:rsidP="002D1521">
      <w:pPr>
        <w:spacing w:line="360" w:lineRule="auto"/>
        <w:ind w:firstLine="709"/>
        <w:jc w:val="center"/>
        <w:rPr>
          <w:b/>
          <w:bCs/>
          <w:sz w:val="28"/>
        </w:rPr>
      </w:pPr>
    </w:p>
    <w:p w:rsidR="002D1521" w:rsidRDefault="002D1521" w:rsidP="002D1521">
      <w:pPr>
        <w:pStyle w:val="a5"/>
        <w:spacing w:line="360" w:lineRule="auto"/>
        <w:jc w:val="center"/>
        <w:rPr>
          <w:b/>
          <w:caps/>
          <w:sz w:val="28"/>
        </w:rPr>
      </w:pPr>
    </w:p>
    <w:p w:rsidR="002D1521" w:rsidRDefault="002D1521" w:rsidP="002D1521">
      <w:pPr>
        <w:pStyle w:val="a5"/>
        <w:spacing w:line="360" w:lineRule="auto"/>
        <w:jc w:val="center"/>
        <w:rPr>
          <w:b/>
          <w:caps/>
          <w:sz w:val="28"/>
        </w:rPr>
      </w:pPr>
      <w:r w:rsidRPr="004E2868">
        <w:rPr>
          <w:b/>
          <w:caps/>
          <w:sz w:val="28"/>
        </w:rPr>
        <w:t>Пояснительная записка</w:t>
      </w:r>
    </w:p>
    <w:p w:rsidR="002D1521" w:rsidRDefault="002D1521" w:rsidP="002D1521">
      <w:pPr>
        <w:spacing w:line="360" w:lineRule="auto"/>
        <w:ind w:firstLine="709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Эффективность функционирования национальной экономики и экономическая безопасность страны в условиях интеграции и глобализации определяются эффективностью </w:t>
      </w:r>
      <w:proofErr w:type="gramStart"/>
      <w:r w:rsidRPr="00351E93">
        <w:rPr>
          <w:color w:val="000000"/>
          <w:sz w:val="28"/>
          <w:szCs w:val="28"/>
        </w:rPr>
        <w:t>работы субъектов хозяйствования различных направлений деятельности</w:t>
      </w:r>
      <w:proofErr w:type="gramEnd"/>
      <w:r w:rsidRPr="00351E93">
        <w:rPr>
          <w:color w:val="000000"/>
          <w:sz w:val="28"/>
          <w:szCs w:val="28"/>
        </w:rPr>
        <w:t xml:space="preserve">. Построение конкурентоспособной социально-ориентированной рыночной экономики обусловлено множеством условий и факторов, среди которых </w:t>
      </w:r>
      <w:r>
        <w:rPr>
          <w:color w:val="000000"/>
          <w:sz w:val="28"/>
          <w:szCs w:val="28"/>
        </w:rPr>
        <w:t>важным</w:t>
      </w:r>
      <w:r w:rsidRPr="00351E93">
        <w:rPr>
          <w:color w:val="000000"/>
          <w:sz w:val="28"/>
          <w:szCs w:val="28"/>
        </w:rPr>
        <w:t xml:space="preserve"> является процесс подготовки высококвалифицированных специалистов в сфере торгового дела, коммерции, предпринимательства и бизнеса. 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неопределенности хозяйственной среды, сложный и противоречивый характер трансформационных процессов, происходящих в настоящее время в экономике республики, обусловливают необходимость реорганизации систем и механизмов управления финансами предприятий. </w:t>
      </w:r>
      <w:r w:rsidRPr="00EA38BD">
        <w:rPr>
          <w:sz w:val="28"/>
          <w:szCs w:val="28"/>
        </w:rPr>
        <w:t xml:space="preserve">Существенно повышается значимость обеспечения финансовой стабильности предприятий как ключевого фактора их функционирования и развития. 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EA38BD">
        <w:rPr>
          <w:sz w:val="28"/>
          <w:szCs w:val="28"/>
        </w:rPr>
        <w:t>Практика свидетельствует, что финансово стабильные отечественные предприятия ориентированы на адаптацию к сложным рыночным условиям хозяйствования, выявление и оптимальное использование своих кон</w:t>
      </w:r>
      <w:r>
        <w:rPr>
          <w:sz w:val="28"/>
          <w:szCs w:val="28"/>
        </w:rPr>
        <w:t xml:space="preserve">курентных преимуществ на рынке, </w:t>
      </w:r>
      <w:r w:rsidRPr="00EA38BD">
        <w:rPr>
          <w:sz w:val="28"/>
          <w:szCs w:val="28"/>
        </w:rPr>
        <w:t xml:space="preserve">увеличение своей рыночной стоимости. </w:t>
      </w:r>
      <w:r>
        <w:rPr>
          <w:sz w:val="28"/>
          <w:szCs w:val="28"/>
        </w:rPr>
        <w:t>С</w:t>
      </w:r>
      <w:r w:rsidRPr="00EA38BD">
        <w:rPr>
          <w:sz w:val="28"/>
          <w:szCs w:val="28"/>
        </w:rPr>
        <w:t xml:space="preserve">овременное состояние управления финансами </w:t>
      </w:r>
      <w:r>
        <w:rPr>
          <w:sz w:val="28"/>
          <w:szCs w:val="28"/>
        </w:rPr>
        <w:t xml:space="preserve">организаций препятствует эффективному реформированию экономики, оказывает негативное воздействие на все ветви финансовой системы страны, и, соответственно, на ее экономический потенциал. Таким образом, активное и грамотное финансовое поведение становится приоритетной задачей не только на уровне </w:t>
      </w:r>
      <w:proofErr w:type="gramStart"/>
      <w:r>
        <w:rPr>
          <w:sz w:val="28"/>
          <w:szCs w:val="28"/>
        </w:rPr>
        <w:t>отдельного</w:t>
      </w:r>
      <w:proofErr w:type="gramEnd"/>
      <w:r>
        <w:rPr>
          <w:sz w:val="28"/>
          <w:szCs w:val="28"/>
        </w:rPr>
        <w:t xml:space="preserve"> предприятия, но и на уровне республики. При этом особое значение приобретает разработка стратегии и тактики финансового поведения организаций на основе развития и использования методологических подходов, эффективных механизмов, моделей и методов финансового управления. </w:t>
      </w:r>
    </w:p>
    <w:p w:rsidR="002D1521" w:rsidRPr="00351E93" w:rsidRDefault="002D1521" w:rsidP="002D1521">
      <w:pPr>
        <w:spacing w:line="360" w:lineRule="auto"/>
        <w:ind w:firstLine="52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lastRenderedPageBreak/>
        <w:t xml:space="preserve"> «</w:t>
      </w:r>
      <w:r>
        <w:rPr>
          <w:color w:val="000000"/>
          <w:sz w:val="28"/>
          <w:szCs w:val="28"/>
        </w:rPr>
        <w:t>Стратегия и тактика финансового поведения торговых организаций</w:t>
      </w:r>
      <w:r w:rsidRPr="00351E93">
        <w:rPr>
          <w:color w:val="000000"/>
          <w:sz w:val="28"/>
          <w:szCs w:val="28"/>
        </w:rPr>
        <w:t>» является учебной дисциплиной</w:t>
      </w:r>
      <w:r w:rsidRPr="00F26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компонента учреждения высшего образования</w:t>
      </w:r>
      <w:r w:rsidRPr="00351E93">
        <w:rPr>
          <w:color w:val="000000"/>
          <w:sz w:val="28"/>
          <w:szCs w:val="28"/>
        </w:rPr>
        <w:t>, формирующей специалиста высшей квалифика</w:t>
      </w:r>
      <w:r>
        <w:rPr>
          <w:color w:val="000000"/>
          <w:sz w:val="28"/>
          <w:szCs w:val="28"/>
        </w:rPr>
        <w:t>ции по специальности 1-25 8</w:t>
      </w:r>
      <w:r w:rsidRPr="00351E93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09</w:t>
      </w:r>
      <w:r w:rsidRPr="00351E93">
        <w:rPr>
          <w:color w:val="000000"/>
          <w:sz w:val="28"/>
          <w:szCs w:val="28"/>
        </w:rPr>
        <w:t xml:space="preserve"> «Коммерческая деятельность». </w:t>
      </w:r>
    </w:p>
    <w:p w:rsidR="002D1521" w:rsidRPr="00351E93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351E93">
        <w:rPr>
          <w:b/>
          <w:sz w:val="28"/>
          <w:szCs w:val="28"/>
        </w:rPr>
        <w:t xml:space="preserve">Цель </w:t>
      </w:r>
      <w:r w:rsidRPr="00351E93">
        <w:rPr>
          <w:sz w:val="28"/>
          <w:szCs w:val="28"/>
        </w:rPr>
        <w:t>изучения дисциплины состоит в том, чтобы сформировать эконо</w:t>
      </w:r>
      <w:r>
        <w:rPr>
          <w:sz w:val="28"/>
          <w:szCs w:val="28"/>
        </w:rPr>
        <w:t>мическое мышление, систему глубоких знаний, аналитических и практических навыков по разработке и реализации стратегии и тактики финансового поведения торговых организаций</w:t>
      </w:r>
      <w:r w:rsidRPr="00351E93">
        <w:rPr>
          <w:sz w:val="28"/>
          <w:szCs w:val="28"/>
        </w:rPr>
        <w:t>.</w:t>
      </w:r>
    </w:p>
    <w:p w:rsidR="002D1521" w:rsidRPr="00351E93" w:rsidRDefault="002D1521" w:rsidP="002D1521">
      <w:pPr>
        <w:spacing w:line="360" w:lineRule="auto"/>
        <w:ind w:firstLine="527"/>
        <w:rPr>
          <w:color w:val="000000"/>
          <w:sz w:val="28"/>
          <w:szCs w:val="28"/>
        </w:rPr>
      </w:pPr>
      <w:r w:rsidRPr="00351E93">
        <w:rPr>
          <w:b/>
          <w:color w:val="000000"/>
          <w:sz w:val="28"/>
          <w:szCs w:val="28"/>
        </w:rPr>
        <w:t>Задачи</w:t>
      </w:r>
      <w:r w:rsidRPr="00351E93">
        <w:rPr>
          <w:color w:val="000000"/>
          <w:sz w:val="28"/>
          <w:szCs w:val="28"/>
        </w:rPr>
        <w:t xml:space="preserve"> учебной дисциплины: </w:t>
      </w:r>
    </w:p>
    <w:p w:rsidR="002D1521" w:rsidRPr="00351E93" w:rsidRDefault="002D1521" w:rsidP="002D1521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 w:line="360" w:lineRule="auto"/>
        <w:ind w:left="0" w:firstLine="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содержание основных направлений финансовой стратегии и тактики и значимости организации на предприятии современной комплексной системы управления финансами</w:t>
      </w:r>
      <w:r w:rsidRPr="00351E93">
        <w:rPr>
          <w:color w:val="000000"/>
          <w:sz w:val="28"/>
          <w:szCs w:val="28"/>
        </w:rPr>
        <w:t xml:space="preserve">; </w:t>
      </w:r>
    </w:p>
    <w:p w:rsidR="002D1521" w:rsidRPr="00351E93" w:rsidRDefault="002D1521" w:rsidP="002D1521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 w:line="360" w:lineRule="auto"/>
        <w:ind w:left="0" w:firstLine="528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сформировать четкое представление об особенностях механизма функционирования </w:t>
      </w:r>
      <w:r>
        <w:rPr>
          <w:color w:val="000000"/>
          <w:sz w:val="28"/>
          <w:szCs w:val="28"/>
        </w:rPr>
        <w:t xml:space="preserve">финансов </w:t>
      </w:r>
      <w:r w:rsidRPr="00351E93">
        <w:rPr>
          <w:color w:val="000000"/>
          <w:sz w:val="28"/>
          <w:szCs w:val="28"/>
        </w:rPr>
        <w:t xml:space="preserve">объектов торговли </w:t>
      </w:r>
      <w:r>
        <w:rPr>
          <w:color w:val="000000"/>
          <w:sz w:val="28"/>
          <w:szCs w:val="28"/>
        </w:rPr>
        <w:t>и общественного питания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овладеть аналитическим аппаратом стратегии и тактики финансового поведения торговых организаций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освоить теории и приемы </w:t>
      </w:r>
      <w:proofErr w:type="gramStart"/>
      <w:r>
        <w:rPr>
          <w:color w:val="000000"/>
          <w:sz w:val="28"/>
          <w:szCs w:val="28"/>
        </w:rPr>
        <w:t>текущего</w:t>
      </w:r>
      <w:proofErr w:type="gramEnd"/>
      <w:r>
        <w:rPr>
          <w:color w:val="000000"/>
          <w:sz w:val="28"/>
          <w:szCs w:val="28"/>
        </w:rPr>
        <w:t xml:space="preserve"> и оперативного управления финансами организации в конкретных условиях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 сфо</w:t>
      </w:r>
      <w:r>
        <w:rPr>
          <w:color w:val="000000"/>
          <w:sz w:val="28"/>
          <w:szCs w:val="28"/>
        </w:rPr>
        <w:t>рмировать практические навыки финансового п</w:t>
      </w:r>
      <w:r w:rsidRPr="00351E93">
        <w:rPr>
          <w:color w:val="000000"/>
          <w:sz w:val="28"/>
          <w:szCs w:val="28"/>
        </w:rPr>
        <w:t xml:space="preserve">оведения и </w:t>
      </w:r>
      <w:r>
        <w:rPr>
          <w:color w:val="000000"/>
          <w:sz w:val="28"/>
          <w:szCs w:val="28"/>
        </w:rPr>
        <w:t>нивелирования негативного влияния внешних факторов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овладеть методами управления капиталом;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методы разработки финансовых прогнозов и планов;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выработку и принятие эффективных решений в области инвестирования и финансирования;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 обеспечить внедрение в практику хозяйствования новой философии делового человека, бизнеса.</w:t>
      </w:r>
    </w:p>
    <w:p w:rsidR="002D1521" w:rsidRDefault="002D1521" w:rsidP="002D1521">
      <w:pPr>
        <w:spacing w:line="360" w:lineRule="auto"/>
        <w:ind w:firstLineChars="192" w:firstLine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должен обладать следующими профессиональными компетенциями: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принимать организационно-управленческие решения, в том числе в нестандартных ситуациях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</w:t>
      </w:r>
      <w:proofErr w:type="gramStart"/>
      <w:r>
        <w:rPr>
          <w:color w:val="000000"/>
          <w:sz w:val="28"/>
          <w:szCs w:val="28"/>
        </w:rPr>
        <w:t>обобщать и критически оценивать</w:t>
      </w:r>
      <w:proofErr w:type="gramEnd"/>
      <w:r>
        <w:rPr>
          <w:color w:val="000000"/>
          <w:sz w:val="28"/>
          <w:szCs w:val="28"/>
        </w:rPr>
        <w:t xml:space="preserve">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разрабатывать финансовые стратегии поведения экономических агентов на различных рынках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</w:t>
      </w:r>
      <w:proofErr w:type="gramStart"/>
      <w:r>
        <w:rPr>
          <w:color w:val="000000"/>
          <w:sz w:val="28"/>
          <w:szCs w:val="28"/>
        </w:rPr>
        <w:t>анализировать и использовать</w:t>
      </w:r>
      <w:proofErr w:type="gramEnd"/>
      <w:r>
        <w:rPr>
          <w:color w:val="000000"/>
          <w:sz w:val="28"/>
          <w:szCs w:val="28"/>
        </w:rPr>
        <w:t xml:space="preserve"> различные источники информации для проведения экономических расчетов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составлять прогноз основных финансово-экономических показателей деятельности предприятия, отрасли, региона и экономики в целом</w:t>
      </w:r>
      <w:r w:rsidRPr="00351E93">
        <w:rPr>
          <w:color w:val="000000"/>
          <w:sz w:val="28"/>
          <w:szCs w:val="28"/>
        </w:rPr>
        <w:t>;</w:t>
      </w:r>
    </w:p>
    <w:p w:rsidR="002D1521" w:rsidRPr="0004589D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ind w:firstLineChars="192" w:firstLine="538"/>
        <w:rPr>
          <w:color w:val="000000"/>
          <w:sz w:val="28"/>
          <w:szCs w:val="28"/>
        </w:rPr>
      </w:pPr>
      <w:r w:rsidRPr="0004589D">
        <w:rPr>
          <w:color w:val="000000"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2D1521" w:rsidRPr="00351E93" w:rsidRDefault="002D1521" w:rsidP="002D1521">
      <w:pPr>
        <w:spacing w:line="360" w:lineRule="auto"/>
        <w:ind w:firstLineChars="192" w:firstLine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</w:t>
      </w:r>
      <w:r w:rsidRPr="00351E93">
        <w:rPr>
          <w:color w:val="000000"/>
          <w:sz w:val="28"/>
          <w:szCs w:val="28"/>
        </w:rPr>
        <w:t xml:space="preserve">ения учебной дисциплины </w:t>
      </w:r>
      <w:proofErr w:type="gramStart"/>
      <w:r w:rsidRPr="00351E93">
        <w:rPr>
          <w:color w:val="000000"/>
          <w:sz w:val="28"/>
          <w:szCs w:val="28"/>
        </w:rPr>
        <w:t>обучаемый</w:t>
      </w:r>
      <w:proofErr w:type="gramEnd"/>
      <w:r w:rsidRPr="00351E93">
        <w:rPr>
          <w:color w:val="000000"/>
          <w:sz w:val="28"/>
          <w:szCs w:val="28"/>
        </w:rPr>
        <w:t xml:space="preserve"> должен </w:t>
      </w:r>
    </w:p>
    <w:p w:rsidR="002D1521" w:rsidRPr="00351E93" w:rsidRDefault="002D1521" w:rsidP="002D1521">
      <w:pPr>
        <w:spacing w:line="360" w:lineRule="auto"/>
        <w:ind w:firstLineChars="192" w:firstLine="540"/>
        <w:rPr>
          <w:color w:val="000000"/>
          <w:sz w:val="28"/>
          <w:szCs w:val="28"/>
        </w:rPr>
      </w:pPr>
      <w:r w:rsidRPr="00351E93">
        <w:rPr>
          <w:b/>
          <w:bCs/>
          <w:color w:val="000000"/>
          <w:sz w:val="28"/>
          <w:szCs w:val="28"/>
        </w:rPr>
        <w:t>знать: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содержание и основные направления финансовой стратегии организации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составляющие элементы  методы оценки стоимости капитала, способы оптимизации его структуры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содержание и факторы, определяющие финансовую политику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теоретические и практические вопросы организации </w:t>
      </w:r>
      <w:proofErr w:type="gramStart"/>
      <w:r>
        <w:rPr>
          <w:color w:val="000000"/>
          <w:sz w:val="28"/>
          <w:szCs w:val="28"/>
        </w:rPr>
        <w:t>текущего</w:t>
      </w:r>
      <w:proofErr w:type="gramEnd"/>
      <w:r>
        <w:rPr>
          <w:color w:val="000000"/>
          <w:sz w:val="28"/>
          <w:szCs w:val="28"/>
        </w:rPr>
        <w:t xml:space="preserve"> управления финансами и тактических аспектов финансовой политики организации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основные направления текущего и оперативного финансового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показателями системы финансовых прогнозов и планов как основы управления финансами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современные нормативные документы и методические материалы, регулирующие разработку финансовой стратегии, политики и тактики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виды и методы финансового прогнозирования;</w:t>
      </w:r>
    </w:p>
    <w:p w:rsidR="002D1521" w:rsidRPr="003E37CA" w:rsidRDefault="002D1521" w:rsidP="002D1521">
      <w:pPr>
        <w:pStyle w:val="3"/>
        <w:tabs>
          <w:tab w:val="left" w:pos="0"/>
        </w:tabs>
        <w:spacing w:line="360" w:lineRule="auto"/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color w:val="000000"/>
          <w:sz w:val="28"/>
          <w:szCs w:val="28"/>
        </w:rPr>
        <w:t>уметь: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оценивать стоимость и структуру капитала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lastRenderedPageBreak/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выбирать наиболее эффективные источники формирования капитала из имеющихся альтернатив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принимать решения в области формирования любого вида финансовой политики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прогнозировать финансовую устойчивость и платежеспособность организации;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797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97E10">
        <w:rPr>
          <w:color w:val="000000"/>
          <w:sz w:val="28"/>
          <w:szCs w:val="28"/>
        </w:rPr>
        <w:t>азрабатывать финансовые планы и контролировать их исполнение</w:t>
      </w:r>
      <w:r>
        <w:rPr>
          <w:color w:val="000000"/>
          <w:sz w:val="28"/>
          <w:szCs w:val="28"/>
        </w:rPr>
        <w:t>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оценивать необходимость и рассчитывать потребность в дополнительном финансировании;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использовать методы операционного анализа в управлении финансами организации;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освоить существующие взаимозависимости показателей текущих и оперативных планов для внесения своевременных взаимосвязанных корректив;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применять системный подход к рассмотрению любого частного вопроса в ходе управления финансами организации;</w:t>
      </w:r>
    </w:p>
    <w:p w:rsidR="002D1521" w:rsidRPr="00797E10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выработать оптимальную тактику финансового поведения в сложившихся условиях для достижения запланированного результата;</w:t>
      </w:r>
    </w:p>
    <w:p w:rsidR="002D1521" w:rsidRPr="003E37CA" w:rsidRDefault="002D1521" w:rsidP="002D1521">
      <w:pPr>
        <w:pStyle w:val="3"/>
        <w:tabs>
          <w:tab w:val="left" w:pos="0"/>
        </w:tabs>
        <w:spacing w:line="360" w:lineRule="auto"/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color w:val="000000"/>
          <w:sz w:val="28"/>
          <w:szCs w:val="28"/>
        </w:rPr>
        <w:t>иметь навыки: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принятия управленческих решений при выборе источников финансирования организации в конкретной ситуации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использования </w:t>
      </w:r>
      <w:proofErr w:type="gramStart"/>
      <w:r>
        <w:rPr>
          <w:color w:val="000000"/>
          <w:sz w:val="28"/>
          <w:szCs w:val="28"/>
        </w:rPr>
        <w:t>приемов определения целесообразности принятия краткосрочных финансовых решений</w:t>
      </w:r>
      <w:proofErr w:type="gramEnd"/>
      <w:r>
        <w:rPr>
          <w:color w:val="000000"/>
          <w:sz w:val="28"/>
          <w:szCs w:val="28"/>
        </w:rPr>
        <w:t xml:space="preserve"> в области политики управления активами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 w:rsidRPr="00463E30">
        <w:rPr>
          <w:color w:val="000000"/>
          <w:sz w:val="28"/>
          <w:szCs w:val="28"/>
        </w:rPr>
        <w:t xml:space="preserve">проведения комплексных расчетов по </w:t>
      </w:r>
      <w:r>
        <w:rPr>
          <w:color w:val="000000"/>
          <w:sz w:val="28"/>
          <w:szCs w:val="28"/>
        </w:rPr>
        <w:t>оценке эффективности в разрезе принятых управленческих решений.</w:t>
      </w:r>
    </w:p>
    <w:p w:rsidR="002D1521" w:rsidRPr="002D1521" w:rsidRDefault="002D1521" w:rsidP="002D1521">
      <w:pPr>
        <w:pStyle w:val="a3"/>
        <w:spacing w:after="0" w:line="360" w:lineRule="auto"/>
        <w:ind w:left="0"/>
        <w:rPr>
          <w:sz w:val="28"/>
          <w:szCs w:val="28"/>
        </w:rPr>
      </w:pPr>
      <w:r w:rsidRPr="002D1521">
        <w:rPr>
          <w:sz w:val="28"/>
          <w:szCs w:val="28"/>
        </w:rPr>
        <w:t>Материал, изложенный в учебной программе, формировался на основе изучения и анализа мирового опыта развития финансов торговли и переосмысления теоретических и методологических разработок отечественных и зарубежных ученых по проблемам разработки финансовой стратегии и тактики. Курс «</w:t>
      </w:r>
      <w:r w:rsidRPr="002D1521">
        <w:rPr>
          <w:color w:val="000000"/>
          <w:sz w:val="28"/>
          <w:szCs w:val="28"/>
        </w:rPr>
        <w:t>Стратегия и тактика финансового поведения торговых организаций</w:t>
      </w:r>
      <w:r w:rsidRPr="002D1521">
        <w:rPr>
          <w:sz w:val="28"/>
          <w:szCs w:val="28"/>
        </w:rPr>
        <w:t xml:space="preserve">» тесно увязан с другими </w:t>
      </w:r>
      <w:r w:rsidRPr="002D1521">
        <w:rPr>
          <w:sz w:val="28"/>
          <w:szCs w:val="28"/>
        </w:rPr>
        <w:lastRenderedPageBreak/>
        <w:t>учебными дисциплинами, в том числе «Методология планирования», «Балансовый инструментарий финансовой диагностики» и др.</w:t>
      </w:r>
    </w:p>
    <w:p w:rsidR="002D1521" w:rsidRPr="00351E93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351E93">
        <w:rPr>
          <w:sz w:val="28"/>
          <w:szCs w:val="28"/>
        </w:rPr>
        <w:t>Аудиторная работа предполагает чтение лекций, проведе</w:t>
      </w:r>
      <w:r>
        <w:rPr>
          <w:sz w:val="28"/>
          <w:szCs w:val="28"/>
        </w:rPr>
        <w:t>ние семинарских и</w:t>
      </w:r>
      <w:r w:rsidRPr="00351E93">
        <w:rPr>
          <w:sz w:val="28"/>
          <w:szCs w:val="28"/>
        </w:rPr>
        <w:t xml:space="preserve"> практических занятий. Контроль знаний студентов осуществляется путем опросов, тестирования, решения </w:t>
      </w:r>
      <w:r>
        <w:rPr>
          <w:sz w:val="28"/>
          <w:szCs w:val="28"/>
        </w:rPr>
        <w:t xml:space="preserve">задач и </w:t>
      </w:r>
      <w:r w:rsidRPr="00351E93">
        <w:rPr>
          <w:sz w:val="28"/>
          <w:szCs w:val="28"/>
        </w:rPr>
        <w:t xml:space="preserve">хозяйственных ситуаций, сдачи экзаменов. </w:t>
      </w:r>
      <w:r w:rsidRPr="00351E93">
        <w:rPr>
          <w:color w:val="000000"/>
          <w:sz w:val="28"/>
          <w:szCs w:val="28"/>
        </w:rPr>
        <w:t>Для оценки качества самостоятельной работы осуществляется контроль ее выполнения. Формы контроля самостоятельной работы устанавливаются вузом.</w:t>
      </w:r>
    </w:p>
    <w:p w:rsidR="002D1521" w:rsidRPr="00351E93" w:rsidRDefault="002D1521" w:rsidP="002D1521">
      <w:pPr>
        <w:pStyle w:val="ac"/>
        <w:spacing w:line="360" w:lineRule="auto"/>
        <w:ind w:right="-6" w:firstLine="709"/>
        <w:jc w:val="both"/>
        <w:rPr>
          <w:b w:val="0"/>
          <w:bCs/>
          <w:szCs w:val="28"/>
        </w:rPr>
      </w:pPr>
      <w:r w:rsidRPr="00351E93">
        <w:rPr>
          <w:b w:val="0"/>
          <w:color w:val="000000"/>
          <w:szCs w:val="28"/>
        </w:rPr>
        <w:t>Согласно образовательному стандарту на изучение учебной дисциплины предусмотрено в</w:t>
      </w:r>
      <w:r w:rsidRPr="00351E93">
        <w:rPr>
          <w:b w:val="0"/>
          <w:bCs/>
          <w:szCs w:val="28"/>
        </w:rPr>
        <w:t xml:space="preserve">сего часов </w:t>
      </w:r>
      <w:r>
        <w:rPr>
          <w:b w:val="0"/>
          <w:bCs/>
          <w:szCs w:val="28"/>
        </w:rPr>
        <w:t>136</w:t>
      </w:r>
      <w:r w:rsidRPr="00351E93">
        <w:rPr>
          <w:b w:val="0"/>
          <w:bCs/>
          <w:szCs w:val="28"/>
        </w:rPr>
        <w:t xml:space="preserve">, из них часов аудиторных </w:t>
      </w:r>
      <w:r>
        <w:rPr>
          <w:b w:val="0"/>
          <w:bCs/>
          <w:szCs w:val="28"/>
        </w:rPr>
        <w:t>50</w:t>
      </w:r>
      <w:r w:rsidRPr="00351E93">
        <w:rPr>
          <w:b w:val="0"/>
          <w:bCs/>
          <w:szCs w:val="28"/>
        </w:rPr>
        <w:t>, в том числе лекции ─</w:t>
      </w:r>
      <w:r>
        <w:rPr>
          <w:b w:val="0"/>
          <w:bCs/>
          <w:szCs w:val="28"/>
        </w:rPr>
        <w:t xml:space="preserve"> 30</w:t>
      </w:r>
      <w:r w:rsidRPr="00351E93">
        <w:rPr>
          <w:b w:val="0"/>
          <w:bCs/>
          <w:szCs w:val="28"/>
        </w:rPr>
        <w:t xml:space="preserve"> часов, практические занятия ─ </w:t>
      </w:r>
      <w:r>
        <w:rPr>
          <w:b w:val="0"/>
          <w:bCs/>
          <w:szCs w:val="28"/>
        </w:rPr>
        <w:t>10</w:t>
      </w:r>
      <w:r w:rsidRPr="00351E93">
        <w:rPr>
          <w:b w:val="0"/>
          <w:bCs/>
          <w:szCs w:val="28"/>
        </w:rPr>
        <w:t xml:space="preserve"> час</w:t>
      </w:r>
      <w:r>
        <w:rPr>
          <w:b w:val="0"/>
          <w:bCs/>
          <w:szCs w:val="28"/>
        </w:rPr>
        <w:t>ов и семинарские занятия – 10 часов</w:t>
      </w:r>
      <w:r w:rsidRPr="00351E93">
        <w:rPr>
          <w:b w:val="0"/>
          <w:bCs/>
          <w:szCs w:val="28"/>
        </w:rPr>
        <w:t>.</w:t>
      </w:r>
    </w:p>
    <w:p w:rsidR="002D1521" w:rsidRPr="00351E93" w:rsidRDefault="002D1521" w:rsidP="002D1521">
      <w:pPr>
        <w:pStyle w:val="ac"/>
        <w:spacing w:line="360" w:lineRule="auto"/>
        <w:ind w:right="-6" w:firstLine="709"/>
        <w:jc w:val="both"/>
        <w:rPr>
          <w:b w:val="0"/>
          <w:bCs/>
          <w:szCs w:val="28"/>
        </w:rPr>
      </w:pPr>
      <w:r w:rsidRPr="00351E93">
        <w:rPr>
          <w:b w:val="0"/>
          <w:bCs/>
          <w:szCs w:val="28"/>
        </w:rPr>
        <w:t>Рекомендуем</w:t>
      </w:r>
      <w:r>
        <w:rPr>
          <w:b w:val="0"/>
          <w:bCs/>
          <w:szCs w:val="28"/>
        </w:rPr>
        <w:t>ая</w:t>
      </w:r>
      <w:r w:rsidRPr="00351E93">
        <w:rPr>
          <w:b w:val="0"/>
          <w:bCs/>
          <w:szCs w:val="28"/>
        </w:rPr>
        <w:t xml:space="preserve"> форм</w:t>
      </w:r>
      <w:r>
        <w:rPr>
          <w:b w:val="0"/>
          <w:bCs/>
          <w:szCs w:val="28"/>
        </w:rPr>
        <w:t>а</w:t>
      </w:r>
      <w:r w:rsidRPr="00351E93">
        <w:rPr>
          <w:b w:val="0"/>
          <w:bCs/>
          <w:szCs w:val="28"/>
        </w:rPr>
        <w:t xml:space="preserve"> контроля </w:t>
      </w:r>
      <w:r w:rsidRPr="00351E93">
        <w:rPr>
          <w:rFonts w:ascii="Franklin Gothic Medium" w:hAnsi="Franklin Gothic Medium"/>
          <w:b w:val="0"/>
          <w:bCs/>
          <w:szCs w:val="28"/>
        </w:rPr>
        <w:t>—</w:t>
      </w:r>
      <w:r>
        <w:rPr>
          <w:rFonts w:ascii="Franklin Gothic Medium" w:hAnsi="Franklin Gothic Medium"/>
          <w:b w:val="0"/>
          <w:bCs/>
          <w:szCs w:val="28"/>
        </w:rPr>
        <w:t xml:space="preserve"> </w:t>
      </w:r>
      <w:r w:rsidRPr="00351E93">
        <w:rPr>
          <w:b w:val="0"/>
          <w:bCs/>
          <w:szCs w:val="28"/>
        </w:rPr>
        <w:t>экзамен.</w:t>
      </w: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Pr="00BD23C7" w:rsidRDefault="002D1521" w:rsidP="002D1521">
      <w:pPr>
        <w:ind w:firstLine="720"/>
        <w:jc w:val="center"/>
        <w:rPr>
          <w:b/>
          <w:sz w:val="28"/>
        </w:rPr>
      </w:pPr>
      <w:r w:rsidRPr="00BD23C7">
        <w:rPr>
          <w:b/>
          <w:sz w:val="28"/>
        </w:rPr>
        <w:lastRenderedPageBreak/>
        <w:t>Примерный тематический план</w:t>
      </w:r>
    </w:p>
    <w:p w:rsidR="002D1521" w:rsidRDefault="002D1521" w:rsidP="002D1521">
      <w:pPr>
        <w:ind w:firstLine="720"/>
        <w:jc w:val="center"/>
        <w:rPr>
          <w:b/>
          <w:caps/>
          <w:sz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735"/>
        <w:gridCol w:w="1108"/>
        <w:gridCol w:w="735"/>
        <w:gridCol w:w="1108"/>
      </w:tblGrid>
      <w:tr w:rsidR="002D1521" w:rsidRPr="00AD579A" w:rsidTr="00235D2A">
        <w:trPr>
          <w:trHeight w:val="274"/>
        </w:trPr>
        <w:tc>
          <w:tcPr>
            <w:tcW w:w="675" w:type="dxa"/>
            <w:vMerge w:val="restart"/>
            <w:shd w:val="clear" w:color="auto" w:fill="auto"/>
          </w:tcPr>
          <w:p w:rsidR="002D1521" w:rsidRPr="00AD579A" w:rsidRDefault="002D1521" w:rsidP="00235D2A"/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D1521" w:rsidRPr="00E40F04" w:rsidRDefault="002D1521" w:rsidP="00235D2A">
            <w:pPr>
              <w:jc w:val="center"/>
              <w:rPr>
                <w:b/>
              </w:rPr>
            </w:pPr>
            <w:r w:rsidRPr="00E40F04">
              <w:rPr>
                <w:b/>
              </w:rPr>
              <w:t>Наименование темы</w:t>
            </w:r>
          </w:p>
        </w:tc>
        <w:tc>
          <w:tcPr>
            <w:tcW w:w="1843" w:type="dxa"/>
            <w:gridSpan w:val="2"/>
            <w:vAlign w:val="center"/>
          </w:tcPr>
          <w:p w:rsidR="002D1521" w:rsidRDefault="002D1521" w:rsidP="00235D2A">
            <w:pPr>
              <w:jc w:val="center"/>
            </w:pPr>
            <w:r>
              <w:t>Дневная форма обучения</w:t>
            </w:r>
          </w:p>
        </w:tc>
        <w:tc>
          <w:tcPr>
            <w:tcW w:w="1843" w:type="dxa"/>
            <w:gridSpan w:val="2"/>
            <w:vAlign w:val="center"/>
          </w:tcPr>
          <w:p w:rsidR="002D1521" w:rsidRDefault="002D1521" w:rsidP="00235D2A">
            <w:pPr>
              <w:jc w:val="center"/>
            </w:pPr>
            <w:r>
              <w:t>Заочная форма обучения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vMerge/>
            <w:shd w:val="clear" w:color="auto" w:fill="auto"/>
          </w:tcPr>
          <w:p w:rsidR="002D1521" w:rsidRPr="00AD579A" w:rsidRDefault="002D1521" w:rsidP="00235D2A"/>
        </w:tc>
        <w:tc>
          <w:tcPr>
            <w:tcW w:w="4820" w:type="dxa"/>
            <w:vMerge/>
            <w:shd w:val="clear" w:color="auto" w:fill="auto"/>
          </w:tcPr>
          <w:p w:rsidR="002D1521" w:rsidRPr="00AD579A" w:rsidRDefault="002D1521" w:rsidP="00235D2A"/>
        </w:tc>
        <w:tc>
          <w:tcPr>
            <w:tcW w:w="735" w:type="dxa"/>
          </w:tcPr>
          <w:p w:rsidR="002D1521" w:rsidRPr="00AD579A" w:rsidRDefault="002D1521" w:rsidP="00235D2A">
            <w:r>
              <w:t>Л</w:t>
            </w:r>
            <w:r w:rsidRPr="00AD579A">
              <w:t>екции</w:t>
            </w:r>
          </w:p>
        </w:tc>
        <w:tc>
          <w:tcPr>
            <w:tcW w:w="1108" w:type="dxa"/>
          </w:tcPr>
          <w:p w:rsidR="002D1521" w:rsidRPr="00AD579A" w:rsidRDefault="002D1521" w:rsidP="00235D2A">
            <w:r>
              <w:t>Практические и семинарские занятия</w:t>
            </w:r>
          </w:p>
        </w:tc>
        <w:tc>
          <w:tcPr>
            <w:tcW w:w="735" w:type="dxa"/>
          </w:tcPr>
          <w:p w:rsidR="002D1521" w:rsidRPr="00AD579A" w:rsidRDefault="002D1521" w:rsidP="00235D2A">
            <w:r>
              <w:t>Л</w:t>
            </w:r>
            <w:r w:rsidRPr="00AD579A">
              <w:t>екции</w:t>
            </w:r>
          </w:p>
        </w:tc>
        <w:tc>
          <w:tcPr>
            <w:tcW w:w="1108" w:type="dxa"/>
          </w:tcPr>
          <w:p w:rsidR="002D1521" w:rsidRPr="00AD579A" w:rsidRDefault="002D1521" w:rsidP="00235D2A">
            <w:r>
              <w:t>Практические и семинарские занятия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 w:rsidRPr="00AD579A">
              <w:t>1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t xml:space="preserve">Финансовые интересы субъектов хозяйствования 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 w:rsidRPr="00AD579A">
              <w:t>2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rPr>
                <w:bCs/>
              </w:rPr>
              <w:t>Финансовая деятельность и финансовое поведение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3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rPr>
                <w:bCs/>
              </w:rPr>
              <w:t>Финансовое обеспечение коммерческой деятельности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4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rPr>
                <w:bCs/>
              </w:rPr>
              <w:t>Финансовая идеология и финансовая стратегия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5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rPr>
                <w:bCs/>
              </w:rPr>
              <w:t>Подходы к разработке стратегии финансового поведения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6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>
              <w:t>Политика и тактика финансового поведения</w:t>
            </w:r>
          </w:p>
        </w:tc>
        <w:tc>
          <w:tcPr>
            <w:tcW w:w="735" w:type="dxa"/>
          </w:tcPr>
          <w:p w:rsidR="002D1521" w:rsidRDefault="002D1521" w:rsidP="00235D2A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195"/>
        </w:trPr>
        <w:tc>
          <w:tcPr>
            <w:tcW w:w="675" w:type="dxa"/>
            <w:shd w:val="clear" w:color="auto" w:fill="auto"/>
            <w:hideMark/>
          </w:tcPr>
          <w:p w:rsidR="002D1521" w:rsidRPr="00AD579A" w:rsidRDefault="002D1521" w:rsidP="00235D2A">
            <w: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235D2A">
            <w:r>
              <w:t>Финансовое прогнозирование в стратегии финансового поведения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59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8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235D2A">
            <w:proofErr w:type="spellStart"/>
            <w:r>
              <w:t>Бюджетирование</w:t>
            </w:r>
            <w:proofErr w:type="spellEnd"/>
            <w:r>
              <w:t xml:space="preserve"> в системе финансового планирования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35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9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235D2A">
            <w:r>
              <w:t>Финансовая безопасность торговых организаций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59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10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235D2A">
            <w:r>
              <w:t>Управление финансовым поведением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235D2A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235D2A">
            <w:pPr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47"/>
        </w:trPr>
        <w:tc>
          <w:tcPr>
            <w:tcW w:w="675" w:type="dxa"/>
            <w:shd w:val="clear" w:color="auto" w:fill="auto"/>
          </w:tcPr>
          <w:p w:rsidR="002D1521" w:rsidRPr="0011284F" w:rsidRDefault="002D1521" w:rsidP="00235D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235D2A">
            <w:r w:rsidRPr="000577D7">
              <w:rPr>
                <w:b/>
              </w:rPr>
              <w:t>Итого часов</w:t>
            </w:r>
          </w:p>
        </w:tc>
        <w:tc>
          <w:tcPr>
            <w:tcW w:w="735" w:type="dxa"/>
          </w:tcPr>
          <w:p w:rsidR="002D1521" w:rsidRDefault="002D1521" w:rsidP="00235D2A">
            <w:pPr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2D1521" w:rsidRDefault="002D1521" w:rsidP="00235D2A">
            <w:pPr>
              <w:jc w:val="center"/>
            </w:pPr>
            <w:r>
              <w:t>20</w:t>
            </w:r>
          </w:p>
        </w:tc>
        <w:tc>
          <w:tcPr>
            <w:tcW w:w="735" w:type="dxa"/>
          </w:tcPr>
          <w:p w:rsidR="002D1521" w:rsidRDefault="002D1521" w:rsidP="00235D2A">
            <w:pPr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2D1521" w:rsidRDefault="002D1521" w:rsidP="00235D2A">
            <w:pPr>
              <w:jc w:val="center"/>
            </w:pPr>
            <w:r>
              <w:t>10</w:t>
            </w:r>
          </w:p>
        </w:tc>
      </w:tr>
    </w:tbl>
    <w:p w:rsidR="002D1521" w:rsidRPr="003E37CA" w:rsidRDefault="002D1521" w:rsidP="002D1521">
      <w:pPr>
        <w:pStyle w:val="3"/>
        <w:pageBreakBefore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sz w:val="28"/>
          <w:szCs w:val="28"/>
        </w:rPr>
        <w:lastRenderedPageBreak/>
        <w:t>СОДЕРЖАНИЕ ДИСЦИПЛИНЫ</w:t>
      </w:r>
    </w:p>
    <w:p w:rsidR="002D1521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1.</w:t>
      </w:r>
      <w:r w:rsidRPr="00636406">
        <w:rPr>
          <w:b/>
          <w:sz w:val="28"/>
        </w:rPr>
        <w:t xml:space="preserve"> </w:t>
      </w:r>
      <w:r w:rsidRPr="00E61969">
        <w:rPr>
          <w:b/>
          <w:sz w:val="28"/>
          <w:szCs w:val="28"/>
        </w:rPr>
        <w:t>Финансовые интересы субъектов хозяйствования</w:t>
      </w:r>
      <w:r w:rsidRPr="00636406">
        <w:rPr>
          <w:b/>
          <w:sz w:val="28"/>
        </w:rPr>
        <w:t xml:space="preserve"> </w:t>
      </w:r>
    </w:p>
    <w:p w:rsidR="002D1521" w:rsidRDefault="002D1521" w:rsidP="002D1521">
      <w:pPr>
        <w:spacing w:before="120" w:line="360" w:lineRule="auto"/>
        <w:ind w:firstLine="709"/>
        <w:rPr>
          <w:sz w:val="28"/>
        </w:rPr>
      </w:pPr>
      <w:r>
        <w:rPr>
          <w:sz w:val="28"/>
        </w:rPr>
        <w:t xml:space="preserve">Финансовые интересы: сущность, принципы классификации. Современные подходы к определению финансовых интересов, их взаимосвязи и взаимодействия. Единство и противоречие интересов. Элементы финансовых интересов. Принципы сочетания финансовых интересов. Оценка финансовых интересов. </w:t>
      </w:r>
    </w:p>
    <w:p w:rsidR="002D1521" w:rsidRPr="00E61969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2.</w:t>
      </w:r>
      <w:r w:rsidRPr="00E61969">
        <w:rPr>
          <w:b/>
          <w:bCs/>
        </w:rPr>
        <w:t xml:space="preserve"> </w:t>
      </w:r>
      <w:r w:rsidRPr="00E61969">
        <w:rPr>
          <w:b/>
          <w:bCs/>
          <w:sz w:val="28"/>
          <w:szCs w:val="28"/>
        </w:rPr>
        <w:t>Финансовая деятельность и финансовое поведение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Финансовая деятельность и направления её осуществления. Предмет финансовой деятельности. Принципы осуществления финансовой деятельности. Формы регулирования финансовой деятельности организаций торговли.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>Финансовое поведение и принципы его осуществления. Элементы финансового поведения. Виды финансового поведения. Факторы, влияющие на поведение организаций торговли. Методы оценки финансового поведения.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</w:p>
    <w:p w:rsidR="002D1521" w:rsidRDefault="002D1521" w:rsidP="002D1521">
      <w:pPr>
        <w:spacing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3</w:t>
      </w:r>
      <w:r w:rsidRPr="00073108">
        <w:rPr>
          <w:sz w:val="28"/>
        </w:rPr>
        <w:t>.</w:t>
      </w:r>
      <w:r w:rsidRPr="009C5EAF">
        <w:rPr>
          <w:b/>
          <w:sz w:val="28"/>
        </w:rPr>
        <w:t xml:space="preserve"> </w:t>
      </w:r>
      <w:r w:rsidRPr="00E61969">
        <w:rPr>
          <w:b/>
          <w:bCs/>
          <w:sz w:val="28"/>
          <w:szCs w:val="28"/>
        </w:rPr>
        <w:t>Финансовое обеспечение коммерческой деятельности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Финансовый рынок. Состав и инструменты финансового рынка. Показатели, характеризующие развитие финансового рынка. Конъюнктура финансового рынка и методы её диагностики. Тенденции и перспективы развития финансового рынка.</w:t>
      </w:r>
    </w:p>
    <w:p w:rsidR="002D1521" w:rsidRPr="00D0712B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Финансовое обеспечение коммерческой деятельности, принципы его организации. Финансовые ограничения. Методы и формы финансового обеспечения. Классификация источников финансирования. Методы финансирования. Определение цены капитала. Методы оценки. Основные теории структуры капитала. Целевая структура капитала и её определение. Расчет оптимальной структуры капитала. Воздействие структуры капитала на рыночную стоимость организации.</w:t>
      </w:r>
    </w:p>
    <w:p w:rsidR="002D1521" w:rsidRPr="00E61969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 xml:space="preserve">Тема 4. </w:t>
      </w:r>
      <w:r w:rsidRPr="00E61969">
        <w:rPr>
          <w:b/>
          <w:bCs/>
          <w:sz w:val="28"/>
          <w:szCs w:val="28"/>
        </w:rPr>
        <w:t>Финансовая идеология и финансовая стратегия</w:t>
      </w:r>
    </w:p>
    <w:p w:rsidR="002D1521" w:rsidRDefault="002D1521" w:rsidP="002D1521">
      <w:pPr>
        <w:spacing w:before="120" w:line="360" w:lineRule="auto"/>
        <w:ind w:firstLine="709"/>
        <w:rPr>
          <w:sz w:val="28"/>
        </w:rPr>
      </w:pPr>
      <w:r>
        <w:rPr>
          <w:sz w:val="28"/>
        </w:rPr>
        <w:t xml:space="preserve">Финансовая идеология и финансовый менталитет. Подходы к выработке и реализации. Финансовая стратегия: сущность, цели и задачи. Требования, </w:t>
      </w:r>
      <w:r>
        <w:rPr>
          <w:sz w:val="28"/>
        </w:rPr>
        <w:lastRenderedPageBreak/>
        <w:t xml:space="preserve">предъявляемые к финансовой стратегии. Виды стратегий, их преимущества и недостатки.  Процедура и этапы разработки финансовой стратегии. Подходы к реализации финансовой стратегии и выбор наилучшего варианта из имеющихся альтернатив. </w:t>
      </w:r>
    </w:p>
    <w:p w:rsidR="002D1521" w:rsidRPr="00A4201D" w:rsidRDefault="002D1521" w:rsidP="002D1521">
      <w:pPr>
        <w:spacing w:before="120" w:line="360" w:lineRule="auto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>Тема 5.</w:t>
      </w:r>
      <w:r w:rsidRPr="00A4201D">
        <w:rPr>
          <w:b/>
          <w:sz w:val="28"/>
          <w:szCs w:val="28"/>
        </w:rPr>
        <w:t xml:space="preserve"> </w:t>
      </w:r>
      <w:r w:rsidRPr="00E61969">
        <w:rPr>
          <w:b/>
          <w:bCs/>
          <w:sz w:val="28"/>
          <w:szCs w:val="28"/>
        </w:rPr>
        <w:t>Подходы к разработке стратегии финансового поведения</w:t>
      </w:r>
    </w:p>
    <w:p w:rsidR="002D1521" w:rsidRPr="001043CA" w:rsidRDefault="002D1521" w:rsidP="002D1521">
      <w:pPr>
        <w:tabs>
          <w:tab w:val="left" w:pos="0"/>
        </w:tabs>
        <w:spacing w:after="0" w:line="360" w:lineRule="auto"/>
        <w:ind w:firstLine="714"/>
        <w:rPr>
          <w:sz w:val="28"/>
          <w:szCs w:val="28"/>
        </w:rPr>
      </w:pPr>
      <w:r>
        <w:rPr>
          <w:sz w:val="28"/>
          <w:szCs w:val="28"/>
        </w:rPr>
        <w:t>Стратегические цели финансового поведения и принципы их формирования. Последовательность разработки и принятия стратегических решений, лежащих в основе финансового поведения. Формирование, оценка и отбор стратегических финансовых альтернатив. Влияние внешней среды организации на финансовое поведение</w:t>
      </w:r>
      <w:r w:rsidRPr="001043CA">
        <w:rPr>
          <w:sz w:val="28"/>
          <w:szCs w:val="28"/>
        </w:rPr>
        <w:t xml:space="preserve">. </w:t>
      </w:r>
      <w:r>
        <w:rPr>
          <w:sz w:val="28"/>
          <w:szCs w:val="28"/>
        </w:rPr>
        <w:t>Параметры оценки результативности разработанной стратегии финансового поведения. Система оценки эффективности финансового поведения.</w:t>
      </w:r>
    </w:p>
    <w:p w:rsidR="002D1521" w:rsidRPr="001043CA" w:rsidRDefault="002D1521" w:rsidP="002D1521">
      <w:pPr>
        <w:pStyle w:val="210"/>
        <w:spacing w:line="360" w:lineRule="auto"/>
        <w:rPr>
          <w:szCs w:val="28"/>
        </w:rPr>
      </w:pPr>
    </w:p>
    <w:p w:rsidR="002D1521" w:rsidRPr="002D1521" w:rsidRDefault="002D1521" w:rsidP="002D1521">
      <w:pPr>
        <w:pStyle w:val="2"/>
        <w:tabs>
          <w:tab w:val="left" w:pos="360"/>
        </w:tabs>
        <w:spacing w:before="120" w:after="120" w:line="360" w:lineRule="auto"/>
        <w:ind w:left="35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521">
        <w:rPr>
          <w:rFonts w:ascii="Times New Roman" w:hAnsi="Times New Roman" w:cs="Times New Roman"/>
          <w:color w:val="auto"/>
          <w:sz w:val="28"/>
          <w:szCs w:val="28"/>
        </w:rPr>
        <w:t>Тема 6. Политика и тактика финансового поведения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Финансовая политика: сущность, виды, направления разработки. Требования, которым должна отвечать разрабатываемая финансовая политика. Разработка политики управления денежными потоками и оборотным капиталом, кредитной политики, дивидендной и амортизационной политики. Методический инструментарий учета фактора риска при разработке и реализации финансовой политики.</w:t>
      </w:r>
    </w:p>
    <w:p w:rsidR="002D1521" w:rsidRPr="00763633" w:rsidRDefault="002D1521" w:rsidP="002D152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Финансовая тактика. Финансовые связи. Цели, задачи и этапы разработки политики и тактики финансового поведения. Финансовый механизм и финансовые инструменты</w:t>
      </w:r>
      <w:r w:rsidRPr="00763633">
        <w:rPr>
          <w:sz w:val="28"/>
          <w:szCs w:val="28"/>
        </w:rPr>
        <w:t>.</w:t>
      </w:r>
      <w:r>
        <w:rPr>
          <w:sz w:val="28"/>
          <w:szCs w:val="28"/>
        </w:rPr>
        <w:t xml:space="preserve"> Элементы и звенья финансового механизма. Условия эффективности функционирования финансового механизма. Направления воздействия финансового механизма и оценка их результативности. Использование современных финансовых инструментов. Внедрение современных финансовых технологий. Тактические приемы маневрирования.</w:t>
      </w:r>
    </w:p>
    <w:p w:rsidR="002D1521" w:rsidRPr="00E61969" w:rsidRDefault="002D1521" w:rsidP="002D1521">
      <w:pPr>
        <w:spacing w:before="120" w:line="360" w:lineRule="auto"/>
        <w:jc w:val="center"/>
        <w:rPr>
          <w:b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E61969">
        <w:rPr>
          <w:b/>
          <w:sz w:val="28"/>
          <w:szCs w:val="28"/>
        </w:rPr>
        <w:t>. Финансовое прогнозирование в стратегии финансового поведения</w:t>
      </w:r>
    </w:p>
    <w:p w:rsidR="002D1521" w:rsidRDefault="002D1521" w:rsidP="002D1521">
      <w:pPr>
        <w:spacing w:after="0" w:line="360" w:lineRule="auto"/>
        <w:rPr>
          <w:sz w:val="28"/>
        </w:rPr>
      </w:pPr>
      <w:r>
        <w:rPr>
          <w:sz w:val="28"/>
        </w:rPr>
        <w:t xml:space="preserve">         Финансовое прогнозирование в организации. Роль финансового прогнозирования в разработке и реализации финансовой стратегии. Виды </w:t>
      </w:r>
      <w:r>
        <w:rPr>
          <w:sz w:val="28"/>
        </w:rPr>
        <w:lastRenderedPageBreak/>
        <w:t>финансовых прогнозов, их форматы. Этапы финансового прогнозирования. Модели прогнозирования денежных потоков. Факторы, влияющие на потребность во внешнем финансировании. Сбалансированная система показателей как инструмент финансового прогнозирования. Содержание финансовых прогнозов и методы расчета их основных показателей. Обеспечение стратегических изменений финансового поведения.</w:t>
      </w:r>
    </w:p>
    <w:p w:rsidR="002D1521" w:rsidRDefault="002D1521" w:rsidP="002D1521">
      <w:pPr>
        <w:spacing w:line="360" w:lineRule="auto"/>
        <w:jc w:val="center"/>
        <w:rPr>
          <w:b/>
          <w:sz w:val="28"/>
        </w:rPr>
      </w:pPr>
    </w:p>
    <w:p w:rsidR="002D1521" w:rsidRPr="00E61969" w:rsidRDefault="002D1521" w:rsidP="002D1521">
      <w:pPr>
        <w:spacing w:after="0" w:line="360" w:lineRule="auto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E61969">
        <w:rPr>
          <w:b/>
          <w:sz w:val="28"/>
          <w:szCs w:val="28"/>
        </w:rPr>
        <w:t xml:space="preserve">. </w:t>
      </w:r>
      <w:proofErr w:type="spellStart"/>
      <w:r w:rsidRPr="00E61969">
        <w:rPr>
          <w:b/>
          <w:sz w:val="28"/>
          <w:szCs w:val="28"/>
        </w:rPr>
        <w:t>Бюджетирование</w:t>
      </w:r>
      <w:proofErr w:type="spellEnd"/>
      <w:r w:rsidRPr="00E61969">
        <w:rPr>
          <w:b/>
          <w:sz w:val="28"/>
          <w:szCs w:val="28"/>
        </w:rPr>
        <w:t xml:space="preserve"> в системе финансового планирования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proofErr w:type="spellStart"/>
      <w:r>
        <w:rPr>
          <w:sz w:val="28"/>
        </w:rPr>
        <w:t>Бюджетирование</w:t>
      </w:r>
      <w:proofErr w:type="spellEnd"/>
      <w:r>
        <w:rPr>
          <w:sz w:val="28"/>
        </w:rPr>
        <w:t xml:space="preserve"> как инструмент финансового планирования. Роль и место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 в общей системе финансового планирования. Принципы и задачи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. Виды бюджетов организации, принципы их классификации. Порядок разработки финансовых бюджетов. Организация и моделирование системы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 в организации. Центры финансовой ответственности и финансового учета, их цели и задачи. 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бюджетов.</w:t>
      </w:r>
    </w:p>
    <w:p w:rsidR="002D1521" w:rsidRPr="009A45F2" w:rsidRDefault="002D1521" w:rsidP="002D1521">
      <w:pPr>
        <w:spacing w:line="360" w:lineRule="auto"/>
        <w:ind w:firstLine="709"/>
        <w:rPr>
          <w:sz w:val="28"/>
        </w:rPr>
      </w:pPr>
    </w:p>
    <w:p w:rsidR="002D1521" w:rsidRPr="00E61969" w:rsidRDefault="002D1521" w:rsidP="002D1521">
      <w:pPr>
        <w:spacing w:after="0" w:line="360" w:lineRule="auto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E61969">
        <w:rPr>
          <w:b/>
          <w:sz w:val="28"/>
          <w:szCs w:val="28"/>
        </w:rPr>
        <w:t>. Финансовая безопасность торговых организаций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Понятие финансовой безопасности организации, ее цели и задачи. Понятие угрозы безопасности и ее виды. Виды защиты финансовой информации. Минимальные требования безопасности. Средства обеспечения защиты финансовой информации. Финансовая информация и ее источники. Понятие финансовой информации. Виды источников получения финансовой информации. Методика отнесения части финансовой информации к коммерческой тайне. Формирование и этапы методики по выделению наиболее ценных сведений. 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Понятие средств обеспечения защиты информации. Принципы эффективной защиты финансовой информации. Методы обеспечения защиты финансовой информации на рынке. Источники утечки информации. Виды носителей информации. Виды угроз информационным объектам. Каналы утечки и их виды. </w:t>
      </w:r>
      <w:r>
        <w:rPr>
          <w:sz w:val="28"/>
        </w:rPr>
        <w:lastRenderedPageBreak/>
        <w:t xml:space="preserve">Методы и способы сбора финансовой информации конкурентами. Этапы мониторинга безопасности. </w:t>
      </w:r>
    </w:p>
    <w:p w:rsidR="002D1521" w:rsidRPr="003E37CA" w:rsidRDefault="002D1521" w:rsidP="002D1521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CA">
        <w:rPr>
          <w:rFonts w:ascii="Times New Roman" w:hAnsi="Times New Roman" w:cs="Times New Roman"/>
          <w:sz w:val="28"/>
          <w:szCs w:val="28"/>
        </w:rPr>
        <w:t>Тема 10. Управление финансовым поведением</w:t>
      </w:r>
    </w:p>
    <w:p w:rsidR="002D1521" w:rsidRPr="007F1DAF" w:rsidRDefault="002D1521" w:rsidP="002D1521">
      <w:pPr>
        <w:spacing w:line="360" w:lineRule="auto"/>
        <w:rPr>
          <w:sz w:val="28"/>
        </w:rPr>
      </w:pPr>
      <w:r>
        <w:rPr>
          <w:b/>
          <w:sz w:val="28"/>
        </w:rPr>
        <w:t xml:space="preserve">              </w:t>
      </w:r>
      <w:r>
        <w:rPr>
          <w:sz w:val="28"/>
        </w:rPr>
        <w:t xml:space="preserve">Организационная структура управления финансовой деятельностью. Сущность, задачи и принципы управления финансовым поведением. Уровни управления финансовым поведением. Принципы системы </w:t>
      </w:r>
      <w:proofErr w:type="gramStart"/>
      <w:r>
        <w:rPr>
          <w:sz w:val="28"/>
        </w:rPr>
        <w:t>стратегического</w:t>
      </w:r>
      <w:proofErr w:type="gramEnd"/>
      <w:r>
        <w:rPr>
          <w:sz w:val="28"/>
        </w:rPr>
        <w:t xml:space="preserve"> управления.</w:t>
      </w:r>
      <w:r w:rsidRPr="00A8752C">
        <w:rPr>
          <w:sz w:val="28"/>
        </w:rPr>
        <w:t xml:space="preserve"> </w:t>
      </w:r>
      <w:r>
        <w:rPr>
          <w:sz w:val="28"/>
        </w:rPr>
        <w:t>Этапы процесса управления реализацией стратегии финансового поведения. Функции и механизм управления финансовым поведением. Алгоритм действий по управлению финансовым поведением. Содержание процесса финансового управления. Система обеспечения контроля реализации управленческих решений.</w:t>
      </w:r>
    </w:p>
    <w:p w:rsidR="002D1521" w:rsidRDefault="002D1521" w:rsidP="002D1521">
      <w:pPr>
        <w:ind w:firstLine="709"/>
        <w:rPr>
          <w:sz w:val="28"/>
        </w:rPr>
      </w:pPr>
    </w:p>
    <w:p w:rsidR="002D1521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925704" w:rsidRDefault="00925704" w:rsidP="00925704">
      <w:pPr>
        <w:widowControl w:val="0"/>
        <w:ind w:left="284"/>
        <w:jc w:val="center"/>
        <w:rPr>
          <w:b/>
          <w:caps/>
          <w:sz w:val="28"/>
          <w:szCs w:val="28"/>
        </w:rPr>
        <w:sectPr w:rsidR="00925704" w:rsidSect="00925704">
          <w:footerReference w:type="default" r:id="rId8"/>
          <w:pgSz w:w="11906" w:h="16838" w:code="9"/>
          <w:pgMar w:top="567" w:right="567" w:bottom="1134" w:left="1134" w:header="709" w:footer="709" w:gutter="0"/>
          <w:pgNumType w:start="30"/>
          <w:cols w:space="708"/>
          <w:docGrid w:linePitch="360"/>
        </w:sectPr>
      </w:pPr>
    </w:p>
    <w:p w:rsidR="00A0300B" w:rsidRPr="00925704" w:rsidRDefault="00A0300B" w:rsidP="002D1521">
      <w:pPr>
        <w:widowControl w:val="0"/>
        <w:autoSpaceDE w:val="0"/>
        <w:autoSpaceDN w:val="0"/>
        <w:adjustRightInd w:val="0"/>
        <w:spacing w:before="40" w:after="0"/>
        <w:ind w:left="0" w:firstLine="0"/>
        <w:jc w:val="center"/>
      </w:pPr>
    </w:p>
    <w:sectPr w:rsidR="00A0300B" w:rsidRPr="00925704" w:rsidSect="00925704">
      <w:footerReference w:type="default" r:id="rId9"/>
      <w:pgSz w:w="16838" w:h="11906" w:orient="landscape"/>
      <w:pgMar w:top="1701" w:right="1134" w:bottom="850" w:left="1134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B5" w:rsidRDefault="00B259B5" w:rsidP="00CC291F">
      <w:pPr>
        <w:spacing w:after="0"/>
      </w:pPr>
      <w:r>
        <w:separator/>
      </w:r>
    </w:p>
  </w:endnote>
  <w:endnote w:type="continuationSeparator" w:id="0">
    <w:p w:rsidR="00B259B5" w:rsidRDefault="00B259B5" w:rsidP="00CC29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739202"/>
      <w:docPartObj>
        <w:docPartGallery w:val="Page Numbers (Bottom of Page)"/>
        <w:docPartUnique/>
      </w:docPartObj>
    </w:sdtPr>
    <w:sdtContent>
      <w:p w:rsidR="00925704" w:rsidRDefault="00471458">
        <w:pPr>
          <w:pStyle w:val="aa"/>
          <w:jc w:val="center"/>
        </w:pPr>
        <w:r>
          <w:fldChar w:fldCharType="begin"/>
        </w:r>
        <w:r w:rsidR="00925704">
          <w:instrText>PAGE   \* MERGEFORMAT</w:instrText>
        </w:r>
        <w:r>
          <w:fldChar w:fldCharType="separate"/>
        </w:r>
        <w:r w:rsidR="002D1521">
          <w:rPr>
            <w:noProof/>
          </w:rPr>
          <w:t>31</w:t>
        </w:r>
        <w:r>
          <w:fldChar w:fldCharType="end"/>
        </w:r>
      </w:p>
    </w:sdtContent>
  </w:sdt>
  <w:p w:rsidR="00925704" w:rsidRDefault="0092570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960159"/>
      <w:docPartObj>
        <w:docPartGallery w:val="Page Numbers (Bottom of Page)"/>
        <w:docPartUnique/>
      </w:docPartObj>
    </w:sdtPr>
    <w:sdtContent>
      <w:p w:rsidR="00925704" w:rsidRDefault="00471458">
        <w:pPr>
          <w:pStyle w:val="aa"/>
          <w:jc w:val="center"/>
        </w:pPr>
        <w:r>
          <w:fldChar w:fldCharType="begin"/>
        </w:r>
        <w:r w:rsidR="00925704">
          <w:instrText>PAGE   \* MERGEFORMAT</w:instrText>
        </w:r>
        <w:r>
          <w:fldChar w:fldCharType="separate"/>
        </w:r>
        <w:r w:rsidR="002D1521">
          <w:rPr>
            <w:noProof/>
          </w:rPr>
          <w:t>44</w:t>
        </w:r>
        <w:r>
          <w:fldChar w:fldCharType="end"/>
        </w:r>
      </w:p>
    </w:sdtContent>
  </w:sdt>
  <w:p w:rsidR="00CC291F" w:rsidRDefault="00CC29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B5" w:rsidRDefault="00B259B5" w:rsidP="00CC291F">
      <w:pPr>
        <w:spacing w:after="0"/>
      </w:pPr>
      <w:r>
        <w:separator/>
      </w:r>
    </w:p>
  </w:footnote>
  <w:footnote w:type="continuationSeparator" w:id="0">
    <w:p w:rsidR="00B259B5" w:rsidRDefault="00B259B5" w:rsidP="00CC29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06"/>
    <w:multiLevelType w:val="multilevel"/>
    <w:tmpl w:val="EB6E86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9F2F14"/>
    <w:multiLevelType w:val="multilevel"/>
    <w:tmpl w:val="A6D85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0B106D4"/>
    <w:multiLevelType w:val="hybridMultilevel"/>
    <w:tmpl w:val="D4A45482"/>
    <w:lvl w:ilvl="0" w:tplc="58F2CA78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i w:val="0"/>
      </w:rPr>
    </w:lvl>
    <w:lvl w:ilvl="1" w:tplc="5B46EB58">
      <w:start w:val="1"/>
      <w:numFmt w:val="decimal"/>
      <w:lvlText w:val="%2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B41398A"/>
    <w:multiLevelType w:val="hybridMultilevel"/>
    <w:tmpl w:val="C1567214"/>
    <w:lvl w:ilvl="0" w:tplc="A92EDE3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5">
    <w:nsid w:val="7E2D5FBA"/>
    <w:multiLevelType w:val="multilevel"/>
    <w:tmpl w:val="EFAAD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2160"/>
      </w:pPr>
      <w:rPr>
        <w:rFonts w:hint="default"/>
      </w:rPr>
    </w:lvl>
  </w:abstractNum>
  <w:abstractNum w:abstractNumId="6">
    <w:nsid w:val="7EBE2631"/>
    <w:multiLevelType w:val="multilevel"/>
    <w:tmpl w:val="1A3A9468"/>
    <w:lvl w:ilvl="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A4"/>
    <w:rsid w:val="000218A4"/>
    <w:rsid w:val="00184469"/>
    <w:rsid w:val="00292776"/>
    <w:rsid w:val="002D1521"/>
    <w:rsid w:val="00471458"/>
    <w:rsid w:val="006A78CE"/>
    <w:rsid w:val="00925704"/>
    <w:rsid w:val="00A0300B"/>
    <w:rsid w:val="00B259B5"/>
    <w:rsid w:val="00CC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9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4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44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84469"/>
    <w:pPr>
      <w:ind w:left="283"/>
    </w:pPr>
  </w:style>
  <w:style w:type="character" w:customStyle="1" w:styleId="a4">
    <w:name w:val="Основной текст с отступом Знак"/>
    <w:basedOn w:val="a0"/>
    <w:link w:val="a3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84469"/>
  </w:style>
  <w:style w:type="character" w:customStyle="1" w:styleId="a6">
    <w:name w:val="Основной текст Знак"/>
    <w:basedOn w:val="a0"/>
    <w:link w:val="a5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84469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84469"/>
    <w:pPr>
      <w:widowControl w:val="0"/>
      <w:autoSpaceDE w:val="0"/>
      <w:autoSpaceDN w:val="0"/>
      <w:adjustRightInd w:val="0"/>
      <w:spacing w:before="160" w:after="12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184469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31">
    <w:name w:val="Body Text Indent 3"/>
    <w:basedOn w:val="a"/>
    <w:link w:val="32"/>
    <w:unhideWhenUsed/>
    <w:rsid w:val="00184469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8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4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184469"/>
    <w:pPr>
      <w:spacing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84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84469"/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2D1521"/>
    <w:pPr>
      <w:spacing w:after="0"/>
      <w:ind w:left="0" w:firstLine="0"/>
      <w:jc w:val="center"/>
    </w:pPr>
    <w:rPr>
      <w:b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2D15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"/>
    <w:rsid w:val="002D1521"/>
    <w:pPr>
      <w:tabs>
        <w:tab w:val="left" w:pos="360"/>
      </w:tabs>
      <w:overflowPunct w:val="0"/>
      <w:autoSpaceDE w:val="0"/>
      <w:autoSpaceDN w:val="0"/>
      <w:adjustRightInd w:val="0"/>
      <w:spacing w:after="0"/>
      <w:ind w:left="357" w:firstLine="357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CAEE-1D2E-4FEC-AFFE-806C531F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2</cp:revision>
  <dcterms:created xsi:type="dcterms:W3CDTF">2016-07-05T07:46:00Z</dcterms:created>
  <dcterms:modified xsi:type="dcterms:W3CDTF">2016-07-05T07:46:00Z</dcterms:modified>
</cp:coreProperties>
</file>