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EA" w:rsidRPr="00AA48EA" w:rsidRDefault="00AA48EA" w:rsidP="00AA48EA">
      <w:pPr>
        <w:pStyle w:val="3"/>
        <w:jc w:val="center"/>
        <w:rPr>
          <w:b/>
        </w:rPr>
      </w:pPr>
      <w:r w:rsidRPr="00AA48EA">
        <w:rPr>
          <w:b/>
        </w:rPr>
        <w:t>ВВЕДЕНИЕ</w:t>
      </w:r>
    </w:p>
    <w:p w:rsidR="00AA48EA" w:rsidRDefault="00AA48EA" w:rsidP="00A358B4">
      <w:pPr>
        <w:pStyle w:val="3"/>
        <w:ind w:firstLine="851"/>
        <w:jc w:val="both"/>
      </w:pPr>
    </w:p>
    <w:p w:rsidR="00A358B4" w:rsidRDefault="00A358B4" w:rsidP="00A358B4">
      <w:pPr>
        <w:pStyle w:val="3"/>
        <w:ind w:firstLine="851"/>
        <w:jc w:val="both"/>
      </w:pPr>
      <w:r>
        <w:t xml:space="preserve">Учебно-методический комплекс по учебной дисциплине </w:t>
      </w:r>
      <w:r>
        <w:rPr>
          <w:spacing w:val="-2"/>
        </w:rPr>
        <w:t xml:space="preserve">«Международные таможенные отношения» </w:t>
      </w:r>
      <w:r>
        <w:t xml:space="preserve">разработан для учреждений высшего образования Республики Беларусь для специальности </w:t>
      </w:r>
      <w:r w:rsidR="00AA48EA" w:rsidRPr="00AD3C25">
        <w:t>6-05-0411-02 «Финансы и кредит»</w:t>
      </w:r>
      <w:r>
        <w:t xml:space="preserve">. </w:t>
      </w:r>
    </w:p>
    <w:p w:rsidR="00796CF5" w:rsidRDefault="003E023D" w:rsidP="00796CF5">
      <w:pPr>
        <w:shd w:val="clear" w:color="auto" w:fill="FFFFFF"/>
        <w:ind w:right="53" w:firstLine="667"/>
        <w:jc w:val="both"/>
      </w:pPr>
      <w:r w:rsidRPr="003E023D">
        <w:rPr>
          <w:kern w:val="0"/>
          <w:sz w:val="28"/>
          <w:szCs w:val="28"/>
        </w:rPr>
        <w:t xml:space="preserve">Цель учебно-методического комплекса по учебной дисциплине </w:t>
      </w:r>
      <w:r w:rsidR="00796CF5" w:rsidRPr="003E023D">
        <w:rPr>
          <w:kern w:val="0"/>
          <w:sz w:val="28"/>
          <w:szCs w:val="28"/>
        </w:rPr>
        <w:t>«</w:t>
      </w:r>
      <w:r w:rsidR="00796CF5">
        <w:rPr>
          <w:bCs/>
          <w:iCs/>
          <w:sz w:val="28"/>
          <w:szCs w:val="28"/>
        </w:rPr>
        <w:t xml:space="preserve">Международные таможенные отношения» – изучение международных основ и принципов регулирования таможенных отношений, принципов построения современного таможенного законодательства. </w:t>
      </w:r>
    </w:p>
    <w:p w:rsidR="00796CF5" w:rsidRDefault="00796CF5" w:rsidP="00796CF5">
      <w:pPr>
        <w:shd w:val="clear" w:color="auto" w:fill="FFFFFF"/>
        <w:ind w:right="53" w:firstLine="667"/>
        <w:jc w:val="both"/>
      </w:pPr>
      <w:r>
        <w:rPr>
          <w:sz w:val="28"/>
          <w:szCs w:val="28"/>
        </w:rPr>
        <w:t xml:space="preserve">Достижение поставленной цели предполагает решение следующих </w:t>
      </w:r>
      <w:r>
        <w:rPr>
          <w:b/>
          <w:sz w:val="28"/>
          <w:szCs w:val="28"/>
        </w:rPr>
        <w:t>задач:</w:t>
      </w:r>
    </w:p>
    <w:p w:rsidR="00796CF5" w:rsidRDefault="00796CF5" w:rsidP="00796CF5">
      <w:pPr>
        <w:numPr>
          <w:ilvl w:val="0"/>
          <w:numId w:val="2"/>
        </w:numPr>
        <w:shd w:val="clear" w:color="auto" w:fill="FFFFFF"/>
        <w:tabs>
          <w:tab w:val="center" w:pos="1276"/>
        </w:tabs>
        <w:suppressAutoHyphens/>
        <w:ind w:left="0" w:right="53" w:firstLine="709"/>
        <w:jc w:val="both"/>
      </w:pPr>
      <w:r>
        <w:rPr>
          <w:bCs/>
          <w:iCs/>
          <w:sz w:val="28"/>
          <w:szCs w:val="28"/>
        </w:rPr>
        <w:t>усвоение студентами глубок</w:t>
      </w:r>
      <w:bookmarkStart w:id="0" w:name="_GoBack"/>
      <w:bookmarkEnd w:id="0"/>
      <w:r>
        <w:rPr>
          <w:bCs/>
          <w:iCs/>
          <w:sz w:val="28"/>
          <w:szCs w:val="28"/>
        </w:rPr>
        <w:t>их теоретических знаний и практических навыков о системе и роли международных таможенных отношений, источниках и принципах международного таможенного права, международно-правовых системах согласованного применения отдельных инструментов и унифицированных международных правилах таможенного регулирования ВЭД;</w:t>
      </w:r>
    </w:p>
    <w:p w:rsidR="00796CF5" w:rsidRDefault="00796CF5" w:rsidP="00796CF5">
      <w:pPr>
        <w:numPr>
          <w:ilvl w:val="0"/>
          <w:numId w:val="2"/>
        </w:numPr>
        <w:shd w:val="clear" w:color="auto" w:fill="FFFFFF"/>
        <w:tabs>
          <w:tab w:val="center" w:pos="1276"/>
        </w:tabs>
        <w:suppressAutoHyphens/>
        <w:ind w:left="0" w:right="53" w:firstLine="709"/>
        <w:jc w:val="both"/>
      </w:pPr>
      <w:r>
        <w:rPr>
          <w:bCs/>
          <w:iCs/>
          <w:sz w:val="28"/>
          <w:szCs w:val="28"/>
        </w:rPr>
        <w:t xml:space="preserve">изучение принципов построения таможенного законодательства ЕАЭС и законодательства о таможенном регулировании Республики Беларусь, применения при этом международных стандартов и норм международных соглашений по таможенным вопросам, деятельность международных организаций в области таможенного регулирования ВЭД; </w:t>
      </w:r>
    </w:p>
    <w:p w:rsidR="00796CF5" w:rsidRDefault="00796CF5" w:rsidP="00796CF5">
      <w:pPr>
        <w:numPr>
          <w:ilvl w:val="0"/>
          <w:numId w:val="2"/>
        </w:numPr>
        <w:shd w:val="clear" w:color="auto" w:fill="FFFFFF"/>
        <w:tabs>
          <w:tab w:val="center" w:pos="1276"/>
        </w:tabs>
        <w:suppressAutoHyphens/>
        <w:ind w:left="0" w:right="53" w:firstLine="709"/>
        <w:jc w:val="both"/>
      </w:pPr>
      <w:r>
        <w:rPr>
          <w:bCs/>
          <w:iCs/>
          <w:sz w:val="28"/>
          <w:szCs w:val="28"/>
        </w:rPr>
        <w:t xml:space="preserve">изучение состояния таможенного сотрудничества в рамках СНГ и ЕАЭС, сотрудничества Республики Беларусь с сопредельными государствами и странами дальнего зарубежья в таможенной сфере, международного сотрудничества таможенной службы Республики Беларусь; </w:t>
      </w:r>
    </w:p>
    <w:p w:rsidR="00796CF5" w:rsidRDefault="00796CF5" w:rsidP="00796CF5">
      <w:pPr>
        <w:numPr>
          <w:ilvl w:val="0"/>
          <w:numId w:val="2"/>
        </w:numPr>
        <w:shd w:val="clear" w:color="auto" w:fill="FFFFFF"/>
        <w:tabs>
          <w:tab w:val="center" w:pos="1276"/>
        </w:tabs>
        <w:suppressAutoHyphens/>
        <w:ind w:left="0" w:right="53" w:firstLine="709"/>
        <w:jc w:val="both"/>
      </w:pPr>
      <w:r>
        <w:rPr>
          <w:bCs/>
          <w:iCs/>
          <w:sz w:val="28"/>
          <w:szCs w:val="28"/>
        </w:rPr>
        <w:t>формирование у студентов навыка квалифицированного применения международно-правовых норм в области таможенного дела.</w:t>
      </w:r>
    </w:p>
    <w:p w:rsidR="00796CF5" w:rsidRPr="006263FA" w:rsidRDefault="00796CF5" w:rsidP="00796CF5">
      <w:pPr>
        <w:shd w:val="clear" w:color="auto" w:fill="FFFFFF"/>
        <w:ind w:right="53" w:firstLine="667"/>
        <w:jc w:val="both"/>
      </w:pPr>
      <w:r>
        <w:rPr>
          <w:bCs/>
          <w:iCs/>
          <w:sz w:val="28"/>
          <w:szCs w:val="28"/>
        </w:rPr>
        <w:t xml:space="preserve">В результате изучения учебной дисциплины «Международные таможенные отношения» формируется </w:t>
      </w:r>
      <w:r w:rsidRPr="006263FA">
        <w:rPr>
          <w:bCs/>
          <w:iCs/>
          <w:sz w:val="28"/>
          <w:szCs w:val="28"/>
        </w:rPr>
        <w:t xml:space="preserve">следующая специализированная </w:t>
      </w:r>
      <w:r w:rsidRPr="006263FA">
        <w:rPr>
          <w:b/>
          <w:bCs/>
          <w:iCs/>
          <w:sz w:val="28"/>
          <w:szCs w:val="28"/>
        </w:rPr>
        <w:t>компетенция:</w:t>
      </w:r>
    </w:p>
    <w:p w:rsidR="00796CF5" w:rsidRDefault="00796CF5" w:rsidP="00796CF5">
      <w:pPr>
        <w:shd w:val="clear" w:color="auto" w:fill="FFFFFF"/>
        <w:ind w:right="53" w:firstLine="667"/>
        <w:jc w:val="both"/>
      </w:pPr>
      <w:r>
        <w:rPr>
          <w:bCs/>
          <w:iCs/>
          <w:sz w:val="28"/>
          <w:szCs w:val="28"/>
        </w:rPr>
        <w:t>п</w:t>
      </w:r>
      <w:r w:rsidRPr="00BC4B09">
        <w:rPr>
          <w:bCs/>
          <w:iCs/>
          <w:sz w:val="28"/>
          <w:szCs w:val="28"/>
        </w:rPr>
        <w:t>рименять международные правила регулирования таможенных отношений при разработке национальных нормативных правовых документов, составляющих таможенное законодательство</w:t>
      </w:r>
      <w:r>
        <w:rPr>
          <w:bCs/>
          <w:iCs/>
          <w:sz w:val="28"/>
          <w:szCs w:val="28"/>
        </w:rPr>
        <w:t>.</w:t>
      </w:r>
    </w:p>
    <w:p w:rsidR="00796CF5" w:rsidRDefault="00796CF5" w:rsidP="00796CF5">
      <w:pPr>
        <w:shd w:val="clear" w:color="auto" w:fill="FFFFFF"/>
        <w:ind w:right="53" w:firstLine="667"/>
        <w:jc w:val="both"/>
      </w:pPr>
      <w:r>
        <w:rPr>
          <w:bCs/>
          <w:iCs/>
          <w:sz w:val="28"/>
          <w:szCs w:val="28"/>
        </w:rPr>
        <w:t>В результате изучения данной учебной дисциплины студент должен:</w:t>
      </w:r>
    </w:p>
    <w:p w:rsidR="00796CF5" w:rsidRDefault="00796CF5" w:rsidP="00796CF5">
      <w:pPr>
        <w:pStyle w:val="31"/>
        <w:ind w:firstLine="667"/>
        <w:jc w:val="both"/>
      </w:pPr>
      <w:r>
        <w:rPr>
          <w:b/>
        </w:rPr>
        <w:t>знать: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содержание и назначение таможенного регулирования, место и роль таможенного дела в системе государственного управления ВЭД в условиях экономической интеграции и вхождения Республики Беларусь в мировое хозяйство;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понятие, направления и формы международного сотрудничества в сфере таможенного дела;   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международные организации, регулирующие международные принципы таможенных отношений и принципы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сотрудничества с ними Республики Беларусь;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законодательные акты ЕАЭС в сфере таможенного регулирования и законодательства о таможенном регулировании Республики Беларусь и их международную основу; 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международные правовые акты и международные договоры Республики Беларусь в сфере таможенной деятельности;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международные стандарты и практику регулирования внешней торговли, соответствие законодательства ЕАЭС и Республики Беларусь международным требованиям;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правовую базу взаимодействия таможенных служб различных государств мира;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направления изменения законодательства ЕАЭС и Республики Беларусь в связи с подготовкой ко вступлению в ВТО и участия Республики Беларусь в региональных интеграционных процессах;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современные тенденции развития международных таможенных отношений.</w:t>
      </w:r>
    </w:p>
    <w:p w:rsidR="00796CF5" w:rsidRDefault="00796CF5" w:rsidP="00796CF5">
      <w:pPr>
        <w:pStyle w:val="31"/>
        <w:ind w:firstLine="851"/>
        <w:jc w:val="both"/>
      </w:pPr>
      <w:r>
        <w:rPr>
          <w:b/>
        </w:rPr>
        <w:t>уметь: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понимать международные правила регулирования таможенных отношений и их применения при разработки национальных нормативно-правовых документов, составляющих таможенное законодательство;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использовать основные инструменты государственного регулирования внешнеэкономической деятельности;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использовать международные правовые акты и международные договоры Республики Беларусь в сфере таможенной деятельности;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использовать опыт участия Беларуси в международных таможенных организациях;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осуществлять различные формы международного сотрудничества в таможенной сфере.</w:t>
      </w:r>
    </w:p>
    <w:p w:rsidR="00796CF5" w:rsidRPr="006263FA" w:rsidRDefault="00796CF5" w:rsidP="00796CF5">
      <w:pPr>
        <w:pStyle w:val="31"/>
        <w:ind w:firstLine="851"/>
        <w:jc w:val="both"/>
      </w:pPr>
      <w:r w:rsidRPr="006263FA">
        <w:rPr>
          <w:b/>
        </w:rPr>
        <w:t>иметь навык: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прочтения международных конвенций и соглашений в области таможенного регулирования ВЭД;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оценки соответствия международных норм в области таможенного регулирования таможенному законодательству ЕАЭС и законодательству о таможенном регулировании Республики Беларусь;</w:t>
      </w:r>
    </w:p>
    <w:p w:rsidR="00796CF5" w:rsidRDefault="00796CF5" w:rsidP="00796CF5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right="53"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прогнозирования пути изменения таможенного законодательства в связи с подготовкой ко вступлению Республики Беларусь в ВТО и участия в региональных интеграционных процессах.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b/>
          <w:bCs/>
          <w:sz w:val="28"/>
          <w:szCs w:val="28"/>
        </w:rPr>
        <w:t xml:space="preserve">Место учебной дисциплины </w:t>
      </w:r>
      <w:r>
        <w:rPr>
          <w:sz w:val="28"/>
          <w:szCs w:val="28"/>
        </w:rPr>
        <w:t>в системе подготовки специалиста с высшим образованием: учебная дисциплина относится к модулю «Организация и обеспечение таможенной деятельности» компонента учреждения образования.</w:t>
      </w:r>
    </w:p>
    <w:p w:rsidR="00796CF5" w:rsidRPr="006263FA" w:rsidRDefault="00796CF5" w:rsidP="00796CF5">
      <w:pPr>
        <w:shd w:val="clear" w:color="auto" w:fill="FFFFFF"/>
        <w:ind w:left="110" w:right="53" w:firstLine="557"/>
        <w:jc w:val="both"/>
      </w:pPr>
      <w:r w:rsidRPr="006263FA">
        <w:rPr>
          <w:b/>
          <w:spacing w:val="-6"/>
          <w:sz w:val="28"/>
          <w:szCs w:val="28"/>
        </w:rPr>
        <w:t>Связи с другими учебными дисциплинами</w:t>
      </w:r>
      <w:r w:rsidRPr="006263FA">
        <w:rPr>
          <w:spacing w:val="-6"/>
          <w:sz w:val="28"/>
          <w:szCs w:val="28"/>
        </w:rPr>
        <w:t xml:space="preserve"> </w:t>
      </w:r>
      <w:r w:rsidRPr="006263FA">
        <w:rPr>
          <w:sz w:val="28"/>
          <w:szCs w:val="28"/>
        </w:rPr>
        <w:t xml:space="preserve">– Таможенное дело, Таможенные операции и таможенные процедуры, Таможенный контроль, Таможенные платежи.  </w:t>
      </w:r>
    </w:p>
    <w:p w:rsidR="00796CF5" w:rsidRPr="006263FA" w:rsidRDefault="00796CF5" w:rsidP="00796CF5">
      <w:pPr>
        <w:shd w:val="clear" w:color="auto" w:fill="FFFFFF"/>
        <w:ind w:left="110" w:right="53" w:firstLine="557"/>
        <w:jc w:val="both"/>
      </w:pPr>
      <w:r w:rsidRPr="006263FA">
        <w:rPr>
          <w:bCs/>
          <w:iCs/>
          <w:sz w:val="28"/>
          <w:szCs w:val="28"/>
        </w:rPr>
        <w:t>Форма получения высшего образования - дневная.</w:t>
      </w:r>
    </w:p>
    <w:p w:rsidR="00796CF5" w:rsidRPr="006263FA" w:rsidRDefault="00796CF5" w:rsidP="00796CF5">
      <w:pPr>
        <w:shd w:val="clear" w:color="auto" w:fill="FFFFFF"/>
        <w:ind w:left="110" w:right="53" w:firstLine="557"/>
        <w:jc w:val="both"/>
      </w:pPr>
      <w:r w:rsidRPr="006263FA">
        <w:rPr>
          <w:bCs/>
          <w:iCs/>
          <w:sz w:val="28"/>
          <w:szCs w:val="28"/>
        </w:rPr>
        <w:t>В соответствии с учебным планом университета на изучение учебной дисциплины отводится:</w:t>
      </w:r>
    </w:p>
    <w:p w:rsidR="00796CF5" w:rsidRPr="006263FA" w:rsidRDefault="00796CF5" w:rsidP="00796CF5">
      <w:pPr>
        <w:ind w:firstLine="708"/>
      </w:pPr>
      <w:r w:rsidRPr="006263FA">
        <w:rPr>
          <w:sz w:val="28"/>
          <w:szCs w:val="28"/>
        </w:rPr>
        <w:t>общее количество учебных часов – 120, аудиторных – 52 часов, из них лекции 26 часов, практические занятия – 26 часов.</w:t>
      </w:r>
    </w:p>
    <w:p w:rsidR="00796CF5" w:rsidRDefault="00796CF5" w:rsidP="00796CF5">
      <w:pPr>
        <w:ind w:firstLine="708"/>
      </w:pPr>
      <w:r>
        <w:rPr>
          <w:sz w:val="28"/>
          <w:szCs w:val="28"/>
        </w:rPr>
        <w:t xml:space="preserve">Распределение аудиторного времени по курсам и семестрам: 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 xml:space="preserve">5 семестр – лекции 26 часов, семинарские занятия – 26 часов. 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 xml:space="preserve">Самостоятельная работа студентов – 68 часов. 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>Трудоемкость – 3 зачетных единицы.</w:t>
      </w:r>
    </w:p>
    <w:p w:rsidR="00796CF5" w:rsidRDefault="00796CF5" w:rsidP="00796CF5">
      <w:pPr>
        <w:shd w:val="clear" w:color="auto" w:fill="FFFFFF"/>
        <w:ind w:left="110" w:right="53" w:firstLine="557"/>
        <w:jc w:val="both"/>
      </w:pPr>
      <w:r>
        <w:rPr>
          <w:bCs/>
          <w:iCs/>
          <w:sz w:val="28"/>
          <w:szCs w:val="28"/>
        </w:rPr>
        <w:t>Форма промежуточной аттестации – экзамен.</w:t>
      </w:r>
    </w:p>
    <w:p w:rsidR="00CD023C" w:rsidRDefault="00CD023C" w:rsidP="00796CF5">
      <w:pPr>
        <w:pStyle w:val="31"/>
        <w:ind w:firstLine="851"/>
        <w:jc w:val="both"/>
      </w:pPr>
    </w:p>
    <w:sectPr w:rsidR="00CD023C" w:rsidSect="00DF1A98">
      <w:pgSz w:w="11906" w:h="16838"/>
      <w:pgMar w:top="1134" w:right="851" w:bottom="1134" w:left="1418" w:header="709" w:footer="2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387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4F3E5386"/>
    <w:multiLevelType w:val="hybridMultilevel"/>
    <w:tmpl w:val="3F68E572"/>
    <w:lvl w:ilvl="0" w:tplc="FE24785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9"/>
  <w:drawingGridVerticalSpacing w:val="380"/>
  <w:displayHorizont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8B4"/>
    <w:rsid w:val="001124D2"/>
    <w:rsid w:val="002C7373"/>
    <w:rsid w:val="003E023D"/>
    <w:rsid w:val="006126CD"/>
    <w:rsid w:val="00796CF5"/>
    <w:rsid w:val="007F3CA0"/>
    <w:rsid w:val="0086787C"/>
    <w:rsid w:val="0098346F"/>
    <w:rsid w:val="00A358B4"/>
    <w:rsid w:val="00AA48EA"/>
    <w:rsid w:val="00AD263A"/>
    <w:rsid w:val="00CB1684"/>
    <w:rsid w:val="00CC05F9"/>
    <w:rsid w:val="00CD023C"/>
    <w:rsid w:val="00DD6E10"/>
    <w:rsid w:val="00DF1A98"/>
    <w:rsid w:val="00EC7313"/>
    <w:rsid w:val="00ED6D7E"/>
    <w:rsid w:val="00EE23F5"/>
    <w:rsid w:val="00FA2D16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BBDF0-0965-4683-A6A2-0F4CFA8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kern w:val="2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Игорь"/>
    <w:basedOn w:val="a0"/>
    <w:rsid w:val="0086787C"/>
    <w:pPr>
      <w:numPr>
        <w:numId w:val="1"/>
      </w:numPr>
      <w:tabs>
        <w:tab w:val="left" w:pos="1134"/>
      </w:tabs>
      <w:autoSpaceDE w:val="0"/>
      <w:autoSpaceDN w:val="0"/>
      <w:adjustRightInd w:val="0"/>
      <w:contextualSpacing/>
      <w:jc w:val="both"/>
    </w:pPr>
    <w:rPr>
      <w:rFonts w:eastAsia="Calibri"/>
      <w:kern w:val="0"/>
      <w:sz w:val="28"/>
      <w:szCs w:val="28"/>
      <w:lang w:eastAsia="en-US"/>
    </w:rPr>
  </w:style>
  <w:style w:type="paragraph" w:styleId="3">
    <w:name w:val="Body Text 3"/>
    <w:basedOn w:val="a0"/>
    <w:rsid w:val="00A358B4"/>
    <w:rPr>
      <w:kern w:val="0"/>
      <w:sz w:val="28"/>
      <w:szCs w:val="28"/>
    </w:rPr>
  </w:style>
  <w:style w:type="paragraph" w:customStyle="1" w:styleId="31">
    <w:name w:val="Основной текст 31"/>
    <w:basedOn w:val="a0"/>
    <w:rsid w:val="00AA48EA"/>
    <w:pPr>
      <w:suppressAutoHyphens/>
    </w:pPr>
    <w:rPr>
      <w:kern w:val="0"/>
      <w:sz w:val="28"/>
      <w:szCs w:val="28"/>
      <w:lang w:eastAsia="zh-CN"/>
    </w:rPr>
  </w:style>
  <w:style w:type="paragraph" w:styleId="a4">
    <w:name w:val="List Paragraph"/>
    <w:basedOn w:val="a0"/>
    <w:qFormat/>
    <w:rsid w:val="00AA48EA"/>
    <w:pPr>
      <w:widowControl w:val="0"/>
      <w:suppressAutoHyphens/>
      <w:autoSpaceDE w:val="0"/>
      <w:ind w:left="720"/>
      <w:contextualSpacing/>
    </w:pPr>
    <w:rPr>
      <w:rFonts w:ascii="Arial" w:hAnsi="Arial" w:cs="Arial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Игорь Цыкунов</cp:lastModifiedBy>
  <cp:revision>4</cp:revision>
  <dcterms:created xsi:type="dcterms:W3CDTF">2024-11-12T07:18:00Z</dcterms:created>
  <dcterms:modified xsi:type="dcterms:W3CDTF">2025-05-16T03:13:00Z</dcterms:modified>
</cp:coreProperties>
</file>