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0B" w:rsidRDefault="00B17668" w:rsidP="00F7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BA3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72E0B" w:rsidRPr="007C2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2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ДЛЯ ПОДГОТОВКИ </w:t>
      </w:r>
    </w:p>
    <w:p w:rsidR="00F72E0B" w:rsidRDefault="00F72E0B" w:rsidP="00F72E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ЗАДАНИЙ САМОСТОЯТЕЛЬНОЙ РАБОТЫ</w:t>
      </w:r>
    </w:p>
    <w:p w:rsidR="00F72E0B" w:rsidRDefault="00F72E0B" w:rsidP="00F72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E0B">
        <w:rPr>
          <w:rFonts w:ascii="Times New Roman" w:hAnsi="Times New Roman" w:cs="Times New Roman"/>
          <w:b/>
          <w:sz w:val="28"/>
          <w:szCs w:val="28"/>
        </w:rPr>
        <w:t>Примеры заданий самостоятельной работы</w:t>
      </w:r>
    </w:p>
    <w:p w:rsidR="00F72E0B" w:rsidRDefault="00F72E0B" w:rsidP="00F72E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2E0B"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Pr="00BA3E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E0B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BA3E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E0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A3E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E0B"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Pr="00BA3E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E0B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BA3E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E0B"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BA3E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E0B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BA3E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E0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A3E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E0B">
        <w:rPr>
          <w:rFonts w:ascii="Times New Roman" w:hAnsi="Times New Roman" w:cs="Times New Roman"/>
          <w:sz w:val="28"/>
          <w:szCs w:val="28"/>
          <w:lang w:val="en-US"/>
        </w:rPr>
        <w:t>given</w:t>
      </w:r>
      <w:r w:rsidRPr="00BA3EE7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F72E0B">
        <w:rPr>
          <w:rFonts w:ascii="Times New Roman" w:hAnsi="Times New Roman" w:cs="Times New Roman"/>
          <w:sz w:val="28"/>
          <w:szCs w:val="28"/>
          <w:lang w:val="en-US"/>
        </w:rPr>
        <w:t>chosen</w:t>
      </w:r>
      <w:r w:rsidRPr="00BA3E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E0B">
        <w:rPr>
          <w:rFonts w:ascii="Times New Roman" w:hAnsi="Times New Roman" w:cs="Times New Roman"/>
          <w:sz w:val="28"/>
          <w:szCs w:val="28"/>
          <w:lang w:val="en-US"/>
        </w:rPr>
        <w:t>text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2E0B" w:rsidRDefault="007302EC" w:rsidP="00F72E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Translate a given letter into English.</w:t>
      </w:r>
    </w:p>
    <w:p w:rsidR="001B78B6" w:rsidRPr="001B78B6" w:rsidRDefault="001B78B6" w:rsidP="001B7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B78B6">
        <w:rPr>
          <w:rFonts w:ascii="Times New Roman" w:hAnsi="Times New Roman" w:cs="Times New Roman"/>
          <w:sz w:val="28"/>
          <w:szCs w:val="28"/>
          <w:lang w:val="en-US"/>
        </w:rPr>
        <w:t>Choose a topic and make up a presentation</w:t>
      </w:r>
      <w:r w:rsidR="00E30A9A">
        <w:rPr>
          <w:rFonts w:ascii="Times New Roman" w:hAnsi="Times New Roman" w:cs="Times New Roman"/>
          <w:sz w:val="28"/>
          <w:szCs w:val="28"/>
          <w:lang w:val="en-US"/>
        </w:rPr>
        <w:t xml:space="preserve"> in English and Russian</w:t>
      </w:r>
      <w:r w:rsidRPr="001B78B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30A9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B78B6" w:rsidRPr="00F72E0B" w:rsidRDefault="001B78B6" w:rsidP="001B78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2E0B" w:rsidRPr="00F72E0B" w:rsidRDefault="007302EC" w:rsidP="00F72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2EC">
        <w:rPr>
          <w:rFonts w:ascii="Times New Roman" w:hAnsi="Times New Roman" w:cs="Times New Roman"/>
          <w:b/>
          <w:sz w:val="28"/>
          <w:szCs w:val="28"/>
        </w:rPr>
        <w:t xml:space="preserve">(1) </w:t>
      </w:r>
      <w:r w:rsidR="00F72E0B" w:rsidRPr="00F72E0B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словаря</w:t>
      </w:r>
    </w:p>
    <w:p w:rsidR="00F72E0B" w:rsidRDefault="00F72E0B" w:rsidP="00F72E0B">
      <w:pPr>
        <w:jc w:val="both"/>
        <w:rPr>
          <w:rFonts w:ascii="Times New Roman" w:hAnsi="Times New Roman" w:cs="Times New Roman"/>
          <w:sz w:val="28"/>
          <w:szCs w:val="28"/>
        </w:rPr>
      </w:pPr>
      <w:r w:rsidRPr="00F72E0B">
        <w:rPr>
          <w:rFonts w:ascii="Times New Roman" w:hAnsi="Times New Roman" w:cs="Times New Roman"/>
          <w:sz w:val="28"/>
          <w:szCs w:val="28"/>
        </w:rPr>
        <w:t xml:space="preserve">Для удобства заполнения таблицы словаря желательно вести ее в формате альбомной страницы в горизонтальном расположении. Таблица должна заполняться регулярно, по мере введения нового материала, с обозначением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Pr="00F72E0B">
        <w:rPr>
          <w:rFonts w:ascii="Times New Roman" w:hAnsi="Times New Roman" w:cs="Times New Roman"/>
          <w:sz w:val="28"/>
          <w:szCs w:val="28"/>
        </w:rPr>
        <w:t xml:space="preserve"> занятия и даты. </w:t>
      </w:r>
    </w:p>
    <w:p w:rsidR="00F72E0B" w:rsidRDefault="00F72E0B" w:rsidP="00F72E0B">
      <w:pPr>
        <w:jc w:val="both"/>
        <w:rPr>
          <w:rFonts w:ascii="Times New Roman" w:hAnsi="Times New Roman" w:cs="Times New Roman"/>
          <w:sz w:val="28"/>
          <w:szCs w:val="28"/>
        </w:rPr>
      </w:pPr>
      <w:r w:rsidRPr="00F72E0B">
        <w:rPr>
          <w:rFonts w:ascii="Times New Roman" w:hAnsi="Times New Roman" w:cs="Times New Roman"/>
          <w:sz w:val="28"/>
          <w:szCs w:val="28"/>
        </w:rPr>
        <w:t>В таблице заполняются следующие графы: Единица перевода; Переводческое соответствие; Объяснение понятия (при необходимости), с указанием источника; Что представляет собой переводческое соответствие.</w:t>
      </w:r>
    </w:p>
    <w:p w:rsidR="00F72E0B" w:rsidRDefault="00F72E0B" w:rsidP="00F72E0B">
      <w:pPr>
        <w:jc w:val="both"/>
        <w:rPr>
          <w:rFonts w:ascii="Times New Roman" w:hAnsi="Times New Roman" w:cs="Times New Roman"/>
          <w:sz w:val="28"/>
          <w:szCs w:val="28"/>
        </w:rPr>
      </w:pPr>
      <w:r w:rsidRPr="00F72E0B">
        <w:rPr>
          <w:rFonts w:ascii="Times New Roman" w:hAnsi="Times New Roman" w:cs="Times New Roman"/>
          <w:sz w:val="28"/>
          <w:szCs w:val="28"/>
        </w:rPr>
        <w:t xml:space="preserve">В графе «единица перевода» может содержаться как сама единица перевода, так и более широкий контекст (предложение, абзац) включающий эту единицу и проясняющий, какое переводческое соответствие следует предпочесть. В этом случае анализируемая единица перевода подчеркивается. «Единицами перевода» могут выступать как русские, так и английские слова, словосочетания, клише. </w:t>
      </w:r>
    </w:p>
    <w:p w:rsidR="00F72E0B" w:rsidRDefault="00F72E0B" w:rsidP="00F72E0B">
      <w:pPr>
        <w:jc w:val="both"/>
        <w:rPr>
          <w:rFonts w:ascii="Times New Roman" w:hAnsi="Times New Roman" w:cs="Times New Roman"/>
          <w:sz w:val="28"/>
          <w:szCs w:val="28"/>
        </w:rPr>
      </w:pPr>
      <w:r w:rsidRPr="00F72E0B">
        <w:rPr>
          <w:rFonts w:ascii="Times New Roman" w:hAnsi="Times New Roman" w:cs="Times New Roman"/>
          <w:sz w:val="28"/>
          <w:szCs w:val="28"/>
        </w:rPr>
        <w:t xml:space="preserve">В графе «объяснение понятия» могут содержаться определения из словарей и других авторитетных источников. Пояснения здесь приводятся при необходимости объяснить суть переводимого понятия, если такой необходимости нет, в графе ставится прочерк. </w:t>
      </w:r>
    </w:p>
    <w:p w:rsidR="00F72E0B" w:rsidRDefault="00F72E0B" w:rsidP="00F72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«Ч</w:t>
      </w:r>
      <w:r w:rsidRPr="00F72E0B">
        <w:rPr>
          <w:rFonts w:ascii="Times New Roman" w:hAnsi="Times New Roman" w:cs="Times New Roman"/>
          <w:sz w:val="28"/>
          <w:szCs w:val="28"/>
        </w:rPr>
        <w:t xml:space="preserve">то представляет собой переводческое соответствие» даются пояснения о природе выбранного соответствия (словарное соответствие (ссылка на конкретный словарь/словари), калька, контекстуальное соответствие, трансформация и т.д.), при необходимости приводятся умозаключения и обоснования самого переводчика, почему предложенное соответствие является уместным. </w:t>
      </w:r>
    </w:p>
    <w:p w:rsidR="007302EC" w:rsidRDefault="007302EC" w:rsidP="00F72E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EE7" w:rsidRDefault="00BA3EE7" w:rsidP="00F72E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EE7" w:rsidRDefault="00BA3EE7" w:rsidP="00F72E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2EC" w:rsidRDefault="007302EC" w:rsidP="00F72E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2EC" w:rsidRDefault="007302EC" w:rsidP="00F72E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2EC" w:rsidRDefault="007302EC" w:rsidP="00730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2EC">
        <w:rPr>
          <w:rFonts w:ascii="Times New Roman" w:hAnsi="Times New Roman" w:cs="Times New Roman"/>
          <w:b/>
          <w:sz w:val="28"/>
          <w:szCs w:val="28"/>
        </w:rPr>
        <w:lastRenderedPageBreak/>
        <w:t>(2) Методические рекомендации по пер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302EC">
        <w:rPr>
          <w:rFonts w:ascii="Times New Roman" w:hAnsi="Times New Roman" w:cs="Times New Roman"/>
          <w:b/>
          <w:sz w:val="28"/>
          <w:szCs w:val="28"/>
        </w:rPr>
        <w:t xml:space="preserve">воду текстов </w:t>
      </w:r>
    </w:p>
    <w:p w:rsidR="007302EC" w:rsidRDefault="007302EC" w:rsidP="00730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2EC">
        <w:rPr>
          <w:rFonts w:ascii="Times New Roman" w:hAnsi="Times New Roman" w:cs="Times New Roman"/>
          <w:b/>
          <w:sz w:val="28"/>
          <w:szCs w:val="28"/>
        </w:rPr>
        <w:t>коммерческой тематики</w:t>
      </w:r>
    </w:p>
    <w:p w:rsidR="007302EC" w:rsidRPr="007302EC" w:rsidRDefault="007302EC" w:rsidP="00730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2EC" w:rsidRPr="007302EC" w:rsidRDefault="007302EC" w:rsidP="007302E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 переводе текстов коммерческой тематики следует придерживаться ряда </w:t>
      </w: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методических рекомендаций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направленных на обеспечение точности, адекватности и соблю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дения официально-делового стиля.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7302EC" w:rsidRDefault="007302EC" w:rsidP="007302E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7302EC" w:rsidRPr="007302EC" w:rsidRDefault="007302EC" w:rsidP="007302E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Общие принципы и особенности</w:t>
      </w:r>
    </w:p>
    <w:p w:rsidR="007302EC" w:rsidRPr="007302EC" w:rsidRDefault="007302EC" w:rsidP="00BA3EE7">
      <w:pPr>
        <w:numPr>
          <w:ilvl w:val="0"/>
          <w:numId w:val="2"/>
        </w:num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Целостный обзор текста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перед началом перевода необходимо полностью просмотреть документ, чтобы уяснить его общий смысл, определить тип (письмо, договор, рекламный буклет и т. д.) и выявить лексические и грамматические особенности.</w:t>
      </w:r>
    </w:p>
    <w:p w:rsidR="007302EC" w:rsidRPr="007302EC" w:rsidRDefault="007302EC" w:rsidP="00BA3EE7">
      <w:pPr>
        <w:numPr>
          <w:ilvl w:val="0"/>
          <w:numId w:val="2"/>
        </w:num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Точность и ясность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главной целью является точная передача информации. Коммерческие тексты не терпят двусмысленности, экспрессии или метафоричности; информация должна быть последовательной и логичной.</w:t>
      </w:r>
    </w:p>
    <w:p w:rsidR="007302EC" w:rsidRPr="007302EC" w:rsidRDefault="007302EC" w:rsidP="00BA3EE7">
      <w:pPr>
        <w:numPr>
          <w:ilvl w:val="0"/>
          <w:numId w:val="2"/>
        </w:num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Соблюдение официально-делового стиля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использование стандартных языковых клише, устойчивых выражений и терминов является обязательным. Текст должен звучать профессионально и авторитетно.</w:t>
      </w:r>
    </w:p>
    <w:p w:rsidR="007302EC" w:rsidRPr="007302EC" w:rsidRDefault="007302EC" w:rsidP="00BA3EE7">
      <w:pPr>
        <w:numPr>
          <w:ilvl w:val="0"/>
          <w:numId w:val="2"/>
        </w:num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Культурная адаптация (локализация)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для рекламных и маркетинговых текстов крайне важно учитывать культурные и социальные особенности целевой аудитории, чтобы перевод звучал естественно и достигал поставленных бизнес-целей.</w:t>
      </w:r>
    </w:p>
    <w:p w:rsidR="007302EC" w:rsidRPr="007302EC" w:rsidRDefault="007302EC" w:rsidP="00BA3EE7">
      <w:pPr>
        <w:numPr>
          <w:ilvl w:val="0"/>
          <w:numId w:val="2"/>
        </w:num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Конфиденциальность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работа с коммерческой документацией часто подразумевает доступ к конфиденциальной информации, поэтому соблюдение соответствующих этических норм является обязательным. </w:t>
      </w:r>
    </w:p>
    <w:p w:rsidR="007302EC" w:rsidRDefault="007302EC" w:rsidP="00BA3EE7">
      <w:pPr>
        <w:shd w:val="clear" w:color="auto" w:fill="FFFFFF"/>
        <w:spacing w:after="0" w:line="420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7302EC" w:rsidRPr="007302EC" w:rsidRDefault="007302EC" w:rsidP="00BA3EE7">
      <w:pPr>
        <w:shd w:val="clear" w:color="auto" w:fill="FFFFFF"/>
        <w:spacing w:after="0" w:line="42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Алгоритм перевода коммерческих текстов</w:t>
      </w:r>
    </w:p>
    <w:p w:rsidR="007302EC" w:rsidRPr="007302EC" w:rsidRDefault="007302EC" w:rsidP="00BA3EE7">
      <w:pPr>
        <w:numPr>
          <w:ilvl w:val="0"/>
          <w:numId w:val="3"/>
        </w:num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Предпереводческий</w:t>
      </w:r>
      <w:proofErr w:type="spellEnd"/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анализ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7302EC" w:rsidRPr="007302EC" w:rsidRDefault="007302EC" w:rsidP="00BA3EE7">
      <w:pPr>
        <w:numPr>
          <w:ilvl w:val="1"/>
          <w:numId w:val="4"/>
        </w:numPr>
        <w:shd w:val="clear" w:color="auto" w:fill="FFFFFF"/>
        <w:spacing w:after="0" w:line="360" w:lineRule="atLeast"/>
        <w:ind w:left="567" w:hanging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Изучение терминологического состава текста.</w:t>
      </w:r>
    </w:p>
    <w:p w:rsidR="007302EC" w:rsidRPr="007302EC" w:rsidRDefault="007302EC" w:rsidP="00BA3EE7">
      <w:pPr>
        <w:numPr>
          <w:ilvl w:val="1"/>
          <w:numId w:val="4"/>
        </w:numPr>
        <w:shd w:val="clear" w:color="auto" w:fill="FFFFFF"/>
        <w:spacing w:after="0" w:line="360" w:lineRule="atLeast"/>
        <w:ind w:left="567" w:hanging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Выявление основных сложностей перевода.</w:t>
      </w:r>
    </w:p>
    <w:p w:rsidR="007302EC" w:rsidRPr="007302EC" w:rsidRDefault="007302EC" w:rsidP="00BA3EE7">
      <w:pPr>
        <w:numPr>
          <w:ilvl w:val="1"/>
          <w:numId w:val="4"/>
        </w:numPr>
        <w:shd w:val="clear" w:color="auto" w:fill="FFFFFF"/>
        <w:spacing w:after="0" w:line="360" w:lineRule="atLeast"/>
        <w:ind w:left="567" w:hanging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Определение целевой аудитории и функции текста (информирование, побуждение к действию и т. д.).</w:t>
      </w:r>
    </w:p>
    <w:p w:rsidR="007302EC" w:rsidRPr="007302EC" w:rsidRDefault="007302EC" w:rsidP="00BA3EE7">
      <w:pPr>
        <w:numPr>
          <w:ilvl w:val="0"/>
          <w:numId w:val="4"/>
        </w:num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Собственно</w:t>
      </w:r>
      <w:proofErr w:type="gramEnd"/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перевод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7302EC" w:rsidRPr="007302EC" w:rsidRDefault="007302EC" w:rsidP="00BA3EE7">
      <w:pPr>
        <w:numPr>
          <w:ilvl w:val="1"/>
          <w:numId w:val="5"/>
        </w:num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Применение </w:t>
      </w: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буквального значения слова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там, где это возможно и уместно, избегая вольного перевода.</w:t>
      </w:r>
    </w:p>
    <w:p w:rsidR="007302EC" w:rsidRPr="007302EC" w:rsidRDefault="007302EC" w:rsidP="00BA3EE7">
      <w:pPr>
        <w:numPr>
          <w:ilvl w:val="1"/>
          <w:numId w:val="5"/>
        </w:num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Использование </w:t>
      </w: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функциональных или описательных эквивалентов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для передачи смысла понятий, отсутствующих в языке перевода.</w:t>
      </w:r>
    </w:p>
    <w:p w:rsidR="007302EC" w:rsidRPr="007302EC" w:rsidRDefault="007302EC" w:rsidP="00BA3EE7">
      <w:pPr>
        <w:numPr>
          <w:ilvl w:val="1"/>
          <w:numId w:val="5"/>
        </w:num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Работа с </w:t>
      </w: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терминологией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если для одного термина возможно несколько вариантов перевода, следует выбрать один и придерживаться его на 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протяжении всего документа, возможно, создав глоссарий, особенно если речь идет о переводах для конкретной компании.</w:t>
      </w:r>
    </w:p>
    <w:p w:rsidR="007302EC" w:rsidRPr="007302EC" w:rsidRDefault="007302EC" w:rsidP="007302EC">
      <w:pPr>
        <w:numPr>
          <w:ilvl w:val="1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Обращение к </w:t>
      </w: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справочным материалам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использование словарей, глоссариев, а также доступных материалов (сайты, предыдущие переводы) компании-заказчика.</w:t>
      </w:r>
    </w:p>
    <w:p w:rsidR="007302EC" w:rsidRPr="007302EC" w:rsidRDefault="007302EC" w:rsidP="007302EC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Постредактирование и вычитка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7302EC" w:rsidRPr="007302EC" w:rsidRDefault="007302EC" w:rsidP="007302EC">
      <w:pPr>
        <w:numPr>
          <w:ilvl w:val="1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Проверка переведенного текста на предмет грамматических, орфографических и пунктуационных ошибок.</w:t>
      </w:r>
    </w:p>
    <w:p w:rsidR="007302EC" w:rsidRPr="007302EC" w:rsidRDefault="007302EC" w:rsidP="007302EC">
      <w:pPr>
        <w:numPr>
          <w:ilvl w:val="1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Обеспечение логичности и последовательности изложения.</w:t>
      </w:r>
    </w:p>
    <w:p w:rsidR="007302EC" w:rsidRPr="007302EC" w:rsidRDefault="007302EC" w:rsidP="007302EC">
      <w:pPr>
        <w:numPr>
          <w:ilvl w:val="1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Сверка перевода с оригиналом для контроля точности передачи ключевой информации, цифр и фактов.</w:t>
      </w:r>
    </w:p>
    <w:p w:rsidR="007302EC" w:rsidRPr="007302EC" w:rsidRDefault="007302EC" w:rsidP="007302EC">
      <w:pPr>
        <w:numPr>
          <w:ilvl w:val="1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 необходимости, </w:t>
      </w:r>
      <w:r w:rsidRPr="007302E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нотариальное заверение</w:t>
      </w: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перевода (для официальных документов, таких как договоры или финансовая отчетность). </w:t>
      </w:r>
    </w:p>
    <w:p w:rsidR="007302EC" w:rsidRDefault="007302EC" w:rsidP="007302E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7302EC" w:rsidRPr="007302EC" w:rsidRDefault="007302EC" w:rsidP="007302E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02E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Следуя этим рекомендациям, переводчик сможет создать качественный, точный и адекватный перевод коммерческого текста, соответствующий всем профессиональным требованиям.</w:t>
      </w:r>
    </w:p>
    <w:p w:rsidR="007302EC" w:rsidRDefault="007302EC" w:rsidP="00F72E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78B6" w:rsidRPr="00424350" w:rsidRDefault="001B78B6" w:rsidP="001B78B6">
      <w:pPr>
        <w:keepNext/>
        <w:keepLines/>
        <w:suppressAutoHyphen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76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424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созданию презентации на иностранном языке</w:t>
      </w:r>
    </w:p>
    <w:p w:rsidR="001B78B6" w:rsidRPr="00424350" w:rsidRDefault="001B78B6" w:rsidP="001B78B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Подумай, о чем ты хочешь рассказать в своей презентации. Составь план презентации.</w:t>
      </w:r>
    </w:p>
    <w:p w:rsidR="001B78B6" w:rsidRPr="00424350" w:rsidRDefault="001B78B6" w:rsidP="001B78B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 необходимую литературу. Подбери цитаты, иллюстративный материал.</w:t>
      </w:r>
    </w:p>
    <w:p w:rsidR="001B78B6" w:rsidRPr="00424350" w:rsidRDefault="001B78B6" w:rsidP="001B78B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 слова, необходимые для составления комментария к презентации.</w:t>
      </w:r>
    </w:p>
    <w:p w:rsidR="001B78B6" w:rsidRPr="00424350" w:rsidRDefault="001B78B6" w:rsidP="001B78B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3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слайда должен состоять из кратких и простых по грамматической структуре предложений.</w:t>
      </w:r>
    </w:p>
    <w:p w:rsidR="001B78B6" w:rsidRPr="00424350" w:rsidRDefault="001B78B6" w:rsidP="001B78B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35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должны отражать содержащуюся на слайде информацию.</w:t>
      </w:r>
    </w:p>
    <w:p w:rsidR="001B78B6" w:rsidRPr="00424350" w:rsidRDefault="001B78B6" w:rsidP="001B78B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должны быть логически последовательными.</w:t>
      </w:r>
    </w:p>
    <w:p w:rsidR="001B78B6" w:rsidRPr="00424350" w:rsidRDefault="001B78B6" w:rsidP="001B78B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3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забывай, что при представлении презентации комментарии к слайдам должны содержать больший объем информации, чем отражено на самом слайде.</w:t>
      </w:r>
    </w:p>
    <w:p w:rsidR="001B78B6" w:rsidRPr="00424350" w:rsidRDefault="001B78B6" w:rsidP="001B78B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3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слайдов должен быть выдержан в едином стиле и не мешать восприятию содержащейся на нем информации.</w:t>
      </w:r>
    </w:p>
    <w:p w:rsidR="001B78B6" w:rsidRPr="007C2B2B" w:rsidRDefault="001B78B6" w:rsidP="001B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8B6" w:rsidRDefault="001B78B6" w:rsidP="001B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USEFUL PHRASES FOR PRESENTATIONS IN ENGLISH</w:t>
      </w:r>
    </w:p>
    <w:p w:rsidR="001B78B6" w:rsidRPr="00705273" w:rsidRDefault="001B78B6" w:rsidP="001B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B78B6" w:rsidRPr="00705273" w:rsidRDefault="001B78B6" w:rsidP="001B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 non-native speakers giving a presentation in English can be quite a challenge. There are just so many aspects to consider.  </w:t>
      </w:r>
    </w:p>
    <w:p w:rsidR="001B78B6" w:rsidRPr="00705273" w:rsidRDefault="001B78B6" w:rsidP="001B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Firstly, the audience. Do you know them well? If so, 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more informal language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can be used. 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they unfamiliar to you? If this is the case, then 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more formal expressions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should be adopted. Whether you use more formal or informal language, it is important to engage the audience through positive body language and a warm welcome. Your tone of voice and changes in intonation are additional useful tools and you might consider asking them relevant questions (real or </w:t>
      </w:r>
      <w:r w:rsidRPr="007052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rhetorical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 </w:t>
      </w:r>
    </w:p>
    <w:p w:rsidR="001B78B6" w:rsidRPr="00705273" w:rsidRDefault="001B78B6" w:rsidP="001B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 </w:t>
      </w:r>
      <w:r w:rsidRPr="007052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audience 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also needs to see a clear and logical structure to follow you effortlessly. Useful linking expressions, when delivered well, provide </w:t>
      </w:r>
      <w:r w:rsidRPr="007052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effective 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‘bridges’ guiding the audience from one point to the next.</w:t>
      </w:r>
    </w:p>
    <w:p w:rsidR="001B78B6" w:rsidRPr="00705273" w:rsidRDefault="001B78B6" w:rsidP="001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Here are 30 useful phrases for presentations in English for </w:t>
      </w:r>
      <w:r w:rsidRPr="007052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effective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structure and linking.  </w:t>
      </w:r>
    </w:p>
    <w:p w:rsidR="001B78B6" w:rsidRPr="009813D4" w:rsidRDefault="001B78B6" w:rsidP="001B78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en-US" w:eastAsia="ru-RU"/>
        </w:rPr>
      </w:pPr>
    </w:p>
    <w:p w:rsidR="001B78B6" w:rsidRPr="00705273" w:rsidRDefault="001B78B6" w:rsidP="00BA3EE7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Introduction</w:t>
      </w:r>
      <w:bookmarkStart w:id="0" w:name="_GoBack"/>
      <w:bookmarkEnd w:id="0"/>
      <w:proofErr w:type="spellEnd"/>
    </w:p>
    <w:p w:rsidR="001B78B6" w:rsidRPr="00705273" w:rsidRDefault="001B78B6" w:rsidP="00BA3EE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Good morning/afternoon everyone and welcome to my presentation. 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 of all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let me thank you all for coming here today.</w:t>
      </w:r>
    </w:p>
    <w:p w:rsidR="001B78B6" w:rsidRPr="00705273" w:rsidRDefault="001B78B6" w:rsidP="00BA3EE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Let me start by saying a few words about my own background.</w:t>
      </w:r>
    </w:p>
    <w:p w:rsidR="001B78B6" w:rsidRPr="00705273" w:rsidRDefault="001B78B6" w:rsidP="00BA3EE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 you can see on the screen, our topic today is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......</w:t>
      </w:r>
      <w:proofErr w:type="gramEnd"/>
    </w:p>
    <w:p w:rsidR="001B78B6" w:rsidRPr="00705273" w:rsidRDefault="001B78B6" w:rsidP="00BA3EE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talk is particularly relevant to those of you who....</w:t>
      </w:r>
    </w:p>
    <w:p w:rsidR="001B78B6" w:rsidRPr="00705273" w:rsidRDefault="001B78B6" w:rsidP="00BA3EE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talk 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designed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act as a </w:t>
      </w:r>
      <w:r w:rsidRPr="007052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springboard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for discussion.</w:t>
      </w:r>
    </w:p>
    <w:p w:rsidR="001B78B6" w:rsidRPr="00705273" w:rsidRDefault="001B78B6" w:rsidP="00BA3EE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morning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 afternoon I’m going to take a look at the recent developments in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.....</w:t>
      </w:r>
      <w:proofErr w:type="gramEnd"/>
    </w:p>
    <w:p w:rsidR="001B78B6" w:rsidRDefault="001B78B6" w:rsidP="00BA3EE7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color w:val="262626"/>
          <w:sz w:val="28"/>
          <w:szCs w:val="28"/>
          <w:lang w:val="en-US" w:eastAsia="ru-RU"/>
        </w:rPr>
      </w:pPr>
    </w:p>
    <w:p w:rsidR="001B78B6" w:rsidRPr="00705273" w:rsidRDefault="001B78B6" w:rsidP="00BA3EE7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Presentation</w:t>
      </w:r>
      <w:proofErr w:type="spellEnd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structure</w:t>
      </w:r>
      <w:proofErr w:type="spellEnd"/>
    </w:p>
    <w:p w:rsidR="001B78B6" w:rsidRPr="00705273" w:rsidRDefault="001B78B6" w:rsidP="00BA3EE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my 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presentation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I’ll focus on three major issues.</w:t>
      </w:r>
    </w:p>
    <w:p w:rsidR="001B78B6" w:rsidRPr="00705273" w:rsidRDefault="001B78B6" w:rsidP="00BA3EE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presentation 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structured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 follows....</w:t>
      </w:r>
    </w:p>
    <w:p w:rsidR="001B78B6" w:rsidRPr="00705273" w:rsidRDefault="001B78B6" w:rsidP="00BA3EE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subject can be looked at under the following headings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.....</w:t>
      </w:r>
      <w:proofErr w:type="gramEnd"/>
    </w:p>
    <w:p w:rsidR="001B78B6" w:rsidRPr="00705273" w:rsidRDefault="001B78B6" w:rsidP="00BA3EE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can break this area down into the following fields....</w:t>
      </w:r>
    </w:p>
    <w:p w:rsidR="001B78B6" w:rsidRPr="00705273" w:rsidRDefault="001B78B6" w:rsidP="00BA3E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B78B6" w:rsidRPr="00705273" w:rsidRDefault="001B78B6" w:rsidP="00BA3EE7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Timing</w:t>
      </w:r>
      <w:proofErr w:type="spellEnd"/>
    </w:p>
    <w:p w:rsidR="001B78B6" w:rsidRDefault="001B78B6" w:rsidP="00BA3EE7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It will take about X minutes to cover these issues.</w:t>
      </w:r>
    </w:p>
    <w:p w:rsidR="001B78B6" w:rsidRPr="00705273" w:rsidRDefault="001B78B6" w:rsidP="00BA3E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B78B6" w:rsidRPr="00705273" w:rsidRDefault="001B78B6" w:rsidP="00BA3EE7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Handouts</w:t>
      </w:r>
      <w:proofErr w:type="spellEnd"/>
    </w:p>
    <w:p w:rsidR="001B78B6" w:rsidRPr="00705273" w:rsidRDefault="001B78B6" w:rsidP="00BA3EE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Does everybody have a </w:t>
      </w:r>
      <w:r w:rsidRPr="007052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handout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/ copy of my report?</w:t>
      </w:r>
    </w:p>
    <w:p w:rsidR="001B78B6" w:rsidRPr="00705273" w:rsidRDefault="001B78B6" w:rsidP="00BA3EE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I’ll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 handing out copies of the slides at the end of my talk.</w:t>
      </w:r>
    </w:p>
    <w:p w:rsidR="001B78B6" w:rsidRPr="00705273" w:rsidRDefault="001B78B6" w:rsidP="00BA3EE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 email the PowerPoint presentation to anyone who would like it.  </w:t>
      </w:r>
    </w:p>
    <w:p w:rsidR="001B78B6" w:rsidRPr="007C2B2B" w:rsidRDefault="001B78B6" w:rsidP="00BA3EE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Don’t worry about taking notes, I’ve put all the relevant statistics on a </w:t>
      </w:r>
      <w:r w:rsidRPr="007052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handout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for you</w:t>
      </w:r>
    </w:p>
    <w:p w:rsidR="001B78B6" w:rsidRPr="00705273" w:rsidRDefault="001B78B6" w:rsidP="00BA3E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B78B6" w:rsidRPr="00705273" w:rsidRDefault="001B78B6" w:rsidP="00BA3EE7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Questions</w:t>
      </w:r>
      <w:proofErr w:type="spellEnd"/>
    </w:p>
    <w:p w:rsidR="001B78B6" w:rsidRPr="00705273" w:rsidRDefault="001B78B6" w:rsidP="00BA3EE7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 you have any questions, I am happy to answer them</w:t>
      </w:r>
    </w:p>
    <w:p w:rsidR="001B78B6" w:rsidRPr="007C2B2B" w:rsidRDefault="001B78B6" w:rsidP="00BA3EE7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If you 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don’t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mind, I'd like to leave questions until the end of my talk 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will be time for a </w:t>
      </w:r>
      <w:r w:rsidRPr="007052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Q&amp;A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session at the end...</w:t>
      </w:r>
    </w:p>
    <w:p w:rsidR="001B78B6" w:rsidRPr="00705273" w:rsidRDefault="001B78B6" w:rsidP="00BA3E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B78B6" w:rsidRPr="00705273" w:rsidRDefault="001B78B6" w:rsidP="00BA3EE7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Sequencing</w:t>
      </w:r>
      <w:proofErr w:type="spellEnd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phrases</w:t>
      </w:r>
      <w:proofErr w:type="spellEnd"/>
    </w:p>
    <w:p w:rsidR="001B78B6" w:rsidRPr="00705273" w:rsidRDefault="001B78B6" w:rsidP="00BA3EE7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273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70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273">
        <w:rPr>
          <w:rFonts w:ascii="Times New Roman" w:eastAsia="Times New Roman" w:hAnsi="Times New Roman" w:cs="Times New Roman"/>
          <w:sz w:val="28"/>
          <w:szCs w:val="28"/>
          <w:lang w:eastAsia="ru-RU"/>
        </w:rPr>
        <w:t>first</w:t>
      </w:r>
      <w:proofErr w:type="spellEnd"/>
      <w:r w:rsidRPr="0070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273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70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273">
        <w:rPr>
          <w:rFonts w:ascii="Times New Roman" w:eastAsia="Times New Roman" w:hAnsi="Times New Roman" w:cs="Times New Roman"/>
          <w:sz w:val="28"/>
          <w:szCs w:val="28"/>
          <w:lang w:eastAsia="ru-RU"/>
        </w:rPr>
        <w:t>concerns</w:t>
      </w:r>
      <w:proofErr w:type="spellEnd"/>
      <w:r w:rsidRPr="00705273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1B78B6" w:rsidRPr="00705273" w:rsidRDefault="001B78B6" w:rsidP="00BA3EE7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First of all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I’d like to give you an overview of....</w:t>
      </w:r>
    </w:p>
    <w:p w:rsidR="001B78B6" w:rsidRPr="00705273" w:rsidRDefault="001B78B6" w:rsidP="001B78B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Next, I’ll focus on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.....and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then we’ll consider....</w:t>
      </w:r>
    </w:p>
    <w:p w:rsidR="001B78B6" w:rsidRPr="00705273" w:rsidRDefault="001B78B6" w:rsidP="001B78B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Then 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I’ll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 on to highlight what I see as the main points of....</w:t>
      </w:r>
    </w:p>
    <w:p w:rsidR="001B78B6" w:rsidRPr="00705273" w:rsidRDefault="001B78B6" w:rsidP="001B78B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Finally, I’d like to address the problem of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.....</w:t>
      </w:r>
      <w:proofErr w:type="gramEnd"/>
    </w:p>
    <w:p w:rsidR="001B78B6" w:rsidRDefault="001B78B6" w:rsidP="001B78B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Finally, 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I’d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like to raise briefly the issue of....</w:t>
      </w:r>
    </w:p>
    <w:p w:rsidR="001B78B6" w:rsidRPr="00705273" w:rsidRDefault="001B78B6" w:rsidP="001B78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Highlighting</w:t>
      </w:r>
      <w:proofErr w:type="spellEnd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information</w:t>
      </w:r>
      <w:proofErr w:type="spellEnd"/>
    </w:p>
    <w:p w:rsidR="001B78B6" w:rsidRPr="00705273" w:rsidRDefault="001B78B6" w:rsidP="001B78B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I’d like to put the situation into some kind of perspective</w:t>
      </w:r>
    </w:p>
    <w:p w:rsidR="001B78B6" w:rsidRPr="00705273" w:rsidRDefault="001B78B6" w:rsidP="001B78B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I’d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like to discuss in more depth the implications of....</w:t>
      </w:r>
    </w:p>
    <w:p w:rsidR="001B78B6" w:rsidRPr="00705273" w:rsidRDefault="001B78B6" w:rsidP="001B78B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I’d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like to make more detailed recommendations regarding....</w:t>
      </w:r>
    </w:p>
    <w:p w:rsidR="001B78B6" w:rsidRPr="00705273" w:rsidRDefault="001B78B6" w:rsidP="001B78B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I’d like you to think about the significance of this figure here</w:t>
      </w:r>
    </w:p>
    <w:p w:rsidR="001B78B6" w:rsidRDefault="001B78B6" w:rsidP="001B78B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Whichever way you look at it, the underlying trend is clear</w:t>
      </w:r>
    </w:p>
    <w:p w:rsidR="001B78B6" w:rsidRDefault="001B78B6" w:rsidP="001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B78B6" w:rsidRPr="00705273" w:rsidRDefault="001B78B6" w:rsidP="001B78B6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proofErr w:type="spellStart"/>
      <w:r w:rsidRPr="0070527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Conclusion</w:t>
      </w:r>
      <w:proofErr w:type="spellEnd"/>
    </w:p>
    <w:p w:rsidR="001B78B6" w:rsidRPr="00705273" w:rsidRDefault="001B78B6" w:rsidP="001B78B6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I’d just like to finish with the words of a famous scientist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 politician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 author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.......</w:t>
      </w:r>
      <w:proofErr w:type="gramEnd"/>
    </w:p>
    <w:p w:rsidR="001B78B6" w:rsidRPr="00705273" w:rsidRDefault="001B78B6" w:rsidP="001B78B6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Now </w:t>
      </w:r>
      <w:proofErr w:type="gramStart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let’s</w:t>
      </w:r>
      <w:proofErr w:type="gramEnd"/>
      <w:r w:rsidRPr="00705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 out and create opportunities for...! </w:t>
      </w:r>
    </w:p>
    <w:p w:rsidR="001B78B6" w:rsidRPr="001B78B6" w:rsidRDefault="001B78B6" w:rsidP="00F72E0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B78B6" w:rsidRPr="001B78B6" w:rsidSect="00BA3EE7">
      <w:footerReference w:type="default" r:id="rId7"/>
      <w:pgSz w:w="11906" w:h="16838"/>
      <w:pgMar w:top="1134" w:right="567" w:bottom="1134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69" w:rsidRDefault="00FA2569" w:rsidP="00BA3EE7">
      <w:pPr>
        <w:spacing w:after="0" w:line="240" w:lineRule="auto"/>
      </w:pPr>
      <w:r>
        <w:separator/>
      </w:r>
    </w:p>
  </w:endnote>
  <w:endnote w:type="continuationSeparator" w:id="0">
    <w:p w:rsidR="00FA2569" w:rsidRDefault="00FA2569" w:rsidP="00BA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3877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3EE7" w:rsidRPr="00BA3EE7" w:rsidRDefault="00BA3EE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3E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3E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3E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BA3E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A3EE7" w:rsidRDefault="00BA3E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69" w:rsidRDefault="00FA2569" w:rsidP="00BA3EE7">
      <w:pPr>
        <w:spacing w:after="0" w:line="240" w:lineRule="auto"/>
      </w:pPr>
      <w:r>
        <w:separator/>
      </w:r>
    </w:p>
  </w:footnote>
  <w:footnote w:type="continuationSeparator" w:id="0">
    <w:p w:rsidR="00FA2569" w:rsidRDefault="00FA2569" w:rsidP="00BA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F523A"/>
    <w:multiLevelType w:val="multilevel"/>
    <w:tmpl w:val="7D06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27A3A"/>
    <w:multiLevelType w:val="multilevel"/>
    <w:tmpl w:val="9B5A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7651C"/>
    <w:multiLevelType w:val="multilevel"/>
    <w:tmpl w:val="77E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E2CF6"/>
    <w:multiLevelType w:val="multilevel"/>
    <w:tmpl w:val="505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03174"/>
    <w:multiLevelType w:val="multilevel"/>
    <w:tmpl w:val="BB22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A63A4"/>
    <w:multiLevelType w:val="multilevel"/>
    <w:tmpl w:val="C38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326A5"/>
    <w:multiLevelType w:val="multilevel"/>
    <w:tmpl w:val="74A8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1263C"/>
    <w:multiLevelType w:val="multilevel"/>
    <w:tmpl w:val="FE58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250B0F"/>
    <w:multiLevelType w:val="multilevel"/>
    <w:tmpl w:val="FF3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490F0F"/>
    <w:multiLevelType w:val="hybridMultilevel"/>
    <w:tmpl w:val="9954A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C04E3"/>
    <w:multiLevelType w:val="multilevel"/>
    <w:tmpl w:val="2F02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8"/>
    <w:lvlOverride w:ilvl="1">
      <w:lvl w:ilvl="1">
        <w:numFmt w:val="decimal"/>
        <w:lvlText w:val="%2."/>
        <w:lvlJc w:val="left"/>
      </w:lvl>
    </w:lvlOverride>
  </w:num>
  <w:num w:numId="5">
    <w:abstractNumId w:val="8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8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8C"/>
    <w:rsid w:val="001B78B6"/>
    <w:rsid w:val="007302EC"/>
    <w:rsid w:val="008007C2"/>
    <w:rsid w:val="00B17668"/>
    <w:rsid w:val="00BA3EE7"/>
    <w:rsid w:val="00D75D8C"/>
    <w:rsid w:val="00E30A9A"/>
    <w:rsid w:val="00F72E0B"/>
    <w:rsid w:val="00F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B6F86-2EC6-4986-9FEE-B0D79322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E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3EE7"/>
  </w:style>
  <w:style w:type="paragraph" w:styleId="a6">
    <w:name w:val="footer"/>
    <w:basedOn w:val="a"/>
    <w:link w:val="a7"/>
    <w:uiPriority w:val="99"/>
    <w:unhideWhenUsed/>
    <w:rsid w:val="00BA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8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4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0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7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7</cp:revision>
  <dcterms:created xsi:type="dcterms:W3CDTF">2025-12-09T13:27:00Z</dcterms:created>
  <dcterms:modified xsi:type="dcterms:W3CDTF">2025-12-10T07:32:00Z</dcterms:modified>
</cp:coreProperties>
</file>