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6B" w:rsidRDefault="0086786B" w:rsidP="0086786B">
      <w:pPr>
        <w:pStyle w:val="a8"/>
        <w:ind w:left="0"/>
        <w:jc w:val="center"/>
        <w:rPr>
          <w:bCs/>
          <w:sz w:val="28"/>
        </w:rPr>
      </w:pPr>
      <w:r w:rsidRPr="0086786B">
        <w:rPr>
          <w:b/>
          <w:bCs/>
          <w:sz w:val="28"/>
        </w:rPr>
        <w:t>Примерная тематика рефератов по учебной дисциплине</w:t>
      </w:r>
      <w:r>
        <w:rPr>
          <w:bCs/>
          <w:sz w:val="28"/>
        </w:rPr>
        <w:t xml:space="preserve"> </w:t>
      </w:r>
    </w:p>
    <w:p w:rsidR="0086786B" w:rsidRPr="0086786B" w:rsidRDefault="0086786B" w:rsidP="0086786B">
      <w:pPr>
        <w:pStyle w:val="a8"/>
        <w:ind w:left="0"/>
        <w:jc w:val="center"/>
        <w:rPr>
          <w:b/>
          <w:bCs/>
          <w:sz w:val="28"/>
        </w:rPr>
      </w:pPr>
      <w:r w:rsidRPr="0086786B">
        <w:rPr>
          <w:b/>
          <w:bCs/>
          <w:sz w:val="28"/>
        </w:rPr>
        <w:t>«Денежно-кредитное регулирование»</w:t>
      </w:r>
    </w:p>
    <w:p w:rsidR="0086786B" w:rsidRDefault="0086786B" w:rsidP="0086786B">
      <w:pPr>
        <w:pStyle w:val="a8"/>
        <w:ind w:left="0"/>
        <w:jc w:val="both"/>
        <w:rPr>
          <w:bCs/>
          <w:sz w:val="28"/>
        </w:rPr>
      </w:pP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>
        <w:rPr>
          <w:bCs/>
          <w:sz w:val="28"/>
        </w:rPr>
        <w:t xml:space="preserve">Особенности организации </w:t>
      </w:r>
      <w:r w:rsidRPr="00542248">
        <w:rPr>
          <w:bCs/>
          <w:sz w:val="28"/>
        </w:rPr>
        <w:t xml:space="preserve">денежно-кредитного регулирования в экономике с </w:t>
      </w:r>
      <w:r>
        <w:rPr>
          <w:bCs/>
          <w:sz w:val="28"/>
        </w:rPr>
        <w:t xml:space="preserve">формирующимися </w:t>
      </w:r>
      <w:r w:rsidRPr="00542248">
        <w:rPr>
          <w:bCs/>
          <w:sz w:val="28"/>
        </w:rPr>
        <w:t xml:space="preserve">рынками.  </w:t>
      </w:r>
    </w:p>
    <w:p w:rsidR="0086786B" w:rsidRP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proofErr w:type="gramStart"/>
      <w:r>
        <w:rPr>
          <w:bCs/>
          <w:sz w:val="28"/>
        </w:rPr>
        <w:t>Трансмиссионный</w:t>
      </w:r>
      <w:r w:rsidRPr="0086786B">
        <w:rPr>
          <w:bCs/>
          <w:sz w:val="28"/>
        </w:rPr>
        <w:t xml:space="preserve"> механизм денежно-кредитного регулирования: воздействие на финансовый и реальный сект</w:t>
      </w:r>
      <w:r w:rsidRPr="0086786B">
        <w:rPr>
          <w:bCs/>
          <w:sz w:val="28"/>
        </w:rPr>
        <w:t>о</w:t>
      </w:r>
      <w:r w:rsidRPr="0086786B">
        <w:rPr>
          <w:bCs/>
          <w:sz w:val="28"/>
        </w:rPr>
        <w:t xml:space="preserve">ры экономики. </w:t>
      </w:r>
      <w:proofErr w:type="gramEnd"/>
    </w:p>
    <w:p w:rsidR="0086786B" w:rsidRP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bCs/>
          <w:sz w:val="28"/>
          <w:szCs w:val="28"/>
        </w:rPr>
        <w:t xml:space="preserve">Классификация методов и инструментов денежно-кредитного регулирования. </w:t>
      </w:r>
    </w:p>
    <w:p w:rsidR="0086786B" w:rsidRP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bCs/>
          <w:sz w:val="28"/>
          <w:szCs w:val="28"/>
        </w:rPr>
        <w:t xml:space="preserve">Операции открытого рынка центрального банка, </w:t>
      </w:r>
      <w:r>
        <w:rPr>
          <w:bCs/>
          <w:sz w:val="28"/>
          <w:szCs w:val="28"/>
        </w:rPr>
        <w:t>их роль в регулировании текущей ликвидности денежного рынка.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bCs/>
          <w:sz w:val="28"/>
          <w:szCs w:val="28"/>
        </w:rPr>
        <w:t xml:space="preserve">Постоянные механизмы </w:t>
      </w:r>
      <w:r>
        <w:rPr>
          <w:bCs/>
          <w:sz w:val="28"/>
          <w:szCs w:val="28"/>
        </w:rPr>
        <w:t>регулирования ликвидности банков: практика применения в странах Евросоюза.</w:t>
      </w:r>
      <w:r w:rsidRPr="0086786B">
        <w:rPr>
          <w:bCs/>
          <w:sz w:val="28"/>
          <w:szCs w:val="28"/>
        </w:rPr>
        <w:t xml:space="preserve"> 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sz w:val="28"/>
          <w:szCs w:val="28"/>
        </w:rPr>
        <w:t xml:space="preserve">Классификация методов денежно-кредитного регулирования </w:t>
      </w:r>
      <w:r>
        <w:rPr>
          <w:sz w:val="28"/>
          <w:szCs w:val="28"/>
        </w:rPr>
        <w:t>Национального банка</w:t>
      </w:r>
      <w:r w:rsidRPr="0086786B">
        <w:rPr>
          <w:sz w:val="28"/>
          <w:szCs w:val="28"/>
        </w:rPr>
        <w:t xml:space="preserve"> Республике Беларусь.</w:t>
      </w:r>
      <w:r w:rsidRPr="0086786B">
        <w:rPr>
          <w:sz w:val="28"/>
        </w:rPr>
        <w:t xml:space="preserve"> 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sz w:val="28"/>
        </w:rPr>
        <w:t>Операции на открытом рынке как основной корректирующий метод денежно-кредитного регулирования Национального банка Республики Беларусь</w:t>
      </w:r>
      <w:r>
        <w:rPr>
          <w:sz w:val="28"/>
        </w:rPr>
        <w:t>: практика применения на современном этапе.</w:t>
      </w:r>
      <w:r w:rsidRPr="0086786B">
        <w:rPr>
          <w:sz w:val="28"/>
        </w:rPr>
        <w:t xml:space="preserve"> 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sz w:val="28"/>
        </w:rPr>
        <w:t>Процентная политика Национального банка Республики Бел</w:t>
      </w:r>
      <w:r w:rsidRPr="0086786B">
        <w:rPr>
          <w:sz w:val="28"/>
        </w:rPr>
        <w:t>а</w:t>
      </w:r>
      <w:r w:rsidRPr="0086786B">
        <w:rPr>
          <w:sz w:val="28"/>
        </w:rPr>
        <w:t>русь, её использование в целях снижения инфляции.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sz w:val="28"/>
        </w:rPr>
        <w:t xml:space="preserve">Политика минимальных обязательных резервов и ее место в системе денежно-кредитного регулирования. 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proofErr w:type="gramStart"/>
      <w:r w:rsidRPr="0086786B">
        <w:rPr>
          <w:sz w:val="28"/>
        </w:rPr>
        <w:t>Депозитные</w:t>
      </w:r>
      <w:proofErr w:type="gramEnd"/>
      <w:r w:rsidRPr="0086786B">
        <w:rPr>
          <w:sz w:val="28"/>
        </w:rPr>
        <w:t xml:space="preserve"> операции центрального банка: мировой и отечественный опыт. </w:t>
      </w:r>
    </w:p>
    <w:p w:rsidR="0086786B" w:rsidRP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</w:rPr>
      </w:pPr>
      <w:r w:rsidRPr="0086786B">
        <w:rPr>
          <w:sz w:val="28"/>
          <w:szCs w:val="28"/>
        </w:rPr>
        <w:t>Особенности функционирования трансмиссионного механизма в Республике Б</w:t>
      </w:r>
      <w:r w:rsidRPr="0086786B">
        <w:rPr>
          <w:sz w:val="28"/>
          <w:szCs w:val="28"/>
        </w:rPr>
        <w:t>е</w:t>
      </w:r>
      <w:r w:rsidRPr="0086786B">
        <w:rPr>
          <w:sz w:val="28"/>
          <w:szCs w:val="28"/>
        </w:rPr>
        <w:t xml:space="preserve">ларусь. 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86786B">
        <w:rPr>
          <w:sz w:val="28"/>
          <w:szCs w:val="28"/>
        </w:rPr>
        <w:t>Ценные бумаги в практике денежно-кредитного регулирования Национального банка Республики Беларусь</w:t>
      </w:r>
      <w:r w:rsidRPr="0086786B">
        <w:rPr>
          <w:b/>
          <w:sz w:val="28"/>
          <w:szCs w:val="28"/>
        </w:rPr>
        <w:t xml:space="preserve"> </w:t>
      </w:r>
      <w:r w:rsidRPr="0086786B">
        <w:rPr>
          <w:sz w:val="28"/>
          <w:szCs w:val="28"/>
        </w:rPr>
        <w:t xml:space="preserve"> </w:t>
      </w:r>
    </w:p>
    <w:p w:rsidR="0086786B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86786B">
        <w:rPr>
          <w:sz w:val="28"/>
        </w:rPr>
        <w:t>Воздействие центрального банка на уровень ликвидности коммерческих банков и динамику де</w:t>
      </w:r>
      <w:r w:rsidRPr="0086786B">
        <w:rPr>
          <w:sz w:val="28"/>
        </w:rPr>
        <w:softHyphen/>
        <w:t>нежной массы с использованием ценных бумаг</w:t>
      </w:r>
      <w:r>
        <w:rPr>
          <w:sz w:val="28"/>
        </w:rPr>
        <w:t>: мировой и отечественный опыт.</w:t>
      </w:r>
    </w:p>
    <w:p w:rsidR="00B67CCD" w:rsidRDefault="0086786B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86786B">
        <w:rPr>
          <w:sz w:val="28"/>
        </w:rPr>
        <w:t>Портфель ценных бумаг Национального банка Республики Беларусь. Виды ценных бумаг, используемые при осуществлении Национальным банком Республики Беларусь операции на открытом рынке.</w:t>
      </w:r>
    </w:p>
    <w:p w:rsidR="00B67CCD" w:rsidRDefault="0086786B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67CCD">
        <w:rPr>
          <w:sz w:val="28"/>
        </w:rPr>
        <w:t xml:space="preserve">Задачи и функции Национального банка Республики Беларусь на рынке внутреннего государственного долга. </w:t>
      </w:r>
    </w:p>
    <w:p w:rsidR="00B67CCD" w:rsidRPr="00B67CCD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67CCD">
        <w:rPr>
          <w:sz w:val="28"/>
        </w:rPr>
        <w:t>Выпуск Национального банка Республики Беларусь собственных ценных бумаг. Порядок эмиссии, разме</w:t>
      </w:r>
      <w:r w:rsidRPr="00B67CCD">
        <w:rPr>
          <w:sz w:val="28"/>
        </w:rPr>
        <w:softHyphen/>
        <w:t>щения, вращения и погашения облигаций.</w:t>
      </w:r>
    </w:p>
    <w:p w:rsidR="00B67CCD" w:rsidRDefault="0086786B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67CCD">
        <w:rPr>
          <w:bCs/>
          <w:sz w:val="28"/>
          <w:szCs w:val="28"/>
        </w:rPr>
        <w:t>Международный опыт использования ценных бумаг в деятельности центральных банков</w:t>
      </w:r>
      <w:r w:rsidR="00B67CCD">
        <w:rPr>
          <w:bCs/>
          <w:sz w:val="28"/>
          <w:szCs w:val="28"/>
        </w:rPr>
        <w:t>.</w:t>
      </w:r>
    </w:p>
    <w:p w:rsidR="00B67CCD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rStyle w:val="a7"/>
          <w:b w:val="0"/>
          <w:sz w:val="28"/>
          <w:szCs w:val="28"/>
        </w:rPr>
      </w:pPr>
      <w:r w:rsidRPr="00B67CCD">
        <w:rPr>
          <w:rStyle w:val="a7"/>
          <w:b w:val="0"/>
          <w:sz w:val="28"/>
          <w:szCs w:val="28"/>
        </w:rPr>
        <w:t>Система регулирования рынка ценных бумаг</w:t>
      </w:r>
      <w:r w:rsidR="00B67CCD" w:rsidRPr="00B67CCD">
        <w:rPr>
          <w:rStyle w:val="a7"/>
          <w:b w:val="0"/>
          <w:sz w:val="28"/>
          <w:szCs w:val="28"/>
        </w:rPr>
        <w:t>: отечественный и зарубежный опыт.</w:t>
      </w:r>
      <w:r w:rsidRPr="00B67CCD">
        <w:rPr>
          <w:rStyle w:val="a7"/>
          <w:b w:val="0"/>
          <w:sz w:val="28"/>
          <w:szCs w:val="28"/>
        </w:rPr>
        <w:t xml:space="preserve"> </w:t>
      </w:r>
    </w:p>
    <w:p w:rsidR="00B67CCD" w:rsidRDefault="0086786B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67CCD">
        <w:rPr>
          <w:sz w:val="28"/>
          <w:szCs w:val="28"/>
        </w:rPr>
        <w:t>Валютная политика на системе монетарного регулирования</w:t>
      </w:r>
      <w:r w:rsidR="00B67CCD">
        <w:rPr>
          <w:sz w:val="28"/>
          <w:szCs w:val="28"/>
        </w:rPr>
        <w:t>, ее роль в обеспечении стабильности денежного рынка.</w:t>
      </w:r>
    </w:p>
    <w:p w:rsidR="00B67CCD" w:rsidRPr="00B67CCD" w:rsidRDefault="0086786B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67CCD">
        <w:rPr>
          <w:sz w:val="28"/>
          <w:szCs w:val="28"/>
        </w:rPr>
        <w:lastRenderedPageBreak/>
        <w:t>Структурная и текущая валютная пол</w:t>
      </w:r>
      <w:r w:rsidR="00B67CCD">
        <w:rPr>
          <w:sz w:val="28"/>
          <w:szCs w:val="28"/>
        </w:rPr>
        <w:t>итика, их влияние на денежный рынок.</w:t>
      </w:r>
    </w:p>
    <w:p w:rsidR="00B67CCD" w:rsidRDefault="00B67CCD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="0086786B" w:rsidRPr="00B67CCD">
        <w:rPr>
          <w:sz w:val="28"/>
          <w:szCs w:val="28"/>
        </w:rPr>
        <w:t xml:space="preserve"> валютного регулирования.</w:t>
      </w:r>
    </w:p>
    <w:p w:rsidR="00B67CCD" w:rsidRDefault="0086786B" w:rsidP="00B67CCD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67CCD">
        <w:rPr>
          <w:sz w:val="28"/>
          <w:szCs w:val="28"/>
        </w:rPr>
        <w:t>Формы и инструменты валютной политики Национального банка Ре</w:t>
      </w:r>
      <w:r w:rsidRPr="00B67CCD">
        <w:rPr>
          <w:sz w:val="28"/>
          <w:szCs w:val="28"/>
        </w:rPr>
        <w:t>с</w:t>
      </w:r>
      <w:r w:rsidRPr="00B67CCD">
        <w:rPr>
          <w:sz w:val="28"/>
          <w:szCs w:val="28"/>
        </w:rPr>
        <w:t xml:space="preserve">публики Беларусь. </w:t>
      </w:r>
    </w:p>
    <w:p w:rsidR="00B80863" w:rsidRDefault="00B67CCD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Политика валютного курса, реализуемая Национальным банком Республики Беларусь на современном этапе.</w:t>
      </w:r>
      <w:r w:rsidR="0086786B" w:rsidRPr="00B67CCD">
        <w:rPr>
          <w:sz w:val="28"/>
          <w:szCs w:val="28"/>
        </w:rPr>
        <w:t xml:space="preserve"> </w:t>
      </w:r>
    </w:p>
    <w:p w:rsidR="00B80863" w:rsidRDefault="0086786B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>Управление официальными золотовалютными резерв</w:t>
      </w:r>
      <w:r w:rsidRPr="00B80863">
        <w:rPr>
          <w:sz w:val="28"/>
          <w:szCs w:val="28"/>
        </w:rPr>
        <w:t>а</w:t>
      </w:r>
      <w:r w:rsidRPr="00B80863">
        <w:rPr>
          <w:sz w:val="28"/>
          <w:szCs w:val="28"/>
        </w:rPr>
        <w:t>ми</w:t>
      </w:r>
      <w:r w:rsidR="00B80863">
        <w:rPr>
          <w:sz w:val="28"/>
          <w:szCs w:val="28"/>
        </w:rPr>
        <w:t xml:space="preserve"> как важнейший элемент валютной политики в стране. </w:t>
      </w:r>
      <w:r w:rsidRPr="00B80863">
        <w:rPr>
          <w:sz w:val="28"/>
          <w:szCs w:val="28"/>
        </w:rPr>
        <w:t xml:space="preserve"> </w:t>
      </w:r>
    </w:p>
    <w:p w:rsidR="00B80863" w:rsidRPr="00B80863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 xml:space="preserve">Приоритетные направления валютной политики Национального банка Республики Беларусь на современном этапе. </w:t>
      </w:r>
    </w:p>
    <w:p w:rsidR="00B80863" w:rsidRDefault="0086786B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 xml:space="preserve"> Цели и система банковского пруденциального надзора</w:t>
      </w:r>
      <w:r w:rsidR="00B80863">
        <w:rPr>
          <w:bCs/>
          <w:sz w:val="28"/>
          <w:szCs w:val="28"/>
        </w:rPr>
        <w:t>.</w:t>
      </w:r>
    </w:p>
    <w:p w:rsidR="00B80863" w:rsidRDefault="0086786B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 xml:space="preserve">Международные органы конвергенции: </w:t>
      </w:r>
      <w:proofErr w:type="spellStart"/>
      <w:r w:rsidRPr="00B80863">
        <w:rPr>
          <w:sz w:val="28"/>
          <w:szCs w:val="28"/>
        </w:rPr>
        <w:t>Базельский</w:t>
      </w:r>
      <w:proofErr w:type="spellEnd"/>
      <w:r w:rsidRPr="00B80863">
        <w:rPr>
          <w:sz w:val="28"/>
          <w:szCs w:val="28"/>
        </w:rPr>
        <w:t xml:space="preserve"> комитет по банко</w:t>
      </w:r>
      <w:r w:rsidRPr="00B80863">
        <w:rPr>
          <w:sz w:val="28"/>
          <w:szCs w:val="28"/>
        </w:rPr>
        <w:t>в</w:t>
      </w:r>
      <w:r w:rsidRPr="00B80863">
        <w:rPr>
          <w:sz w:val="28"/>
          <w:szCs w:val="28"/>
        </w:rPr>
        <w:t>скому надзору, Институт финансовой стабильности, Комитет ЕСЦБ по ба</w:t>
      </w:r>
      <w:r w:rsidRPr="00B80863">
        <w:rPr>
          <w:sz w:val="28"/>
          <w:szCs w:val="28"/>
        </w:rPr>
        <w:t>н</w:t>
      </w:r>
      <w:r w:rsidRPr="00B80863">
        <w:rPr>
          <w:sz w:val="28"/>
          <w:szCs w:val="28"/>
        </w:rPr>
        <w:t xml:space="preserve">ковскому надзору, Форум финансовой стабильности. Важнейшие документы Базельского комитета по банковскому надзору. </w:t>
      </w:r>
    </w:p>
    <w:p w:rsidR="00B80863" w:rsidRDefault="00B80863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86786B" w:rsidRPr="00B80863">
        <w:rPr>
          <w:sz w:val="28"/>
          <w:szCs w:val="28"/>
        </w:rPr>
        <w:t>иск – ориентированн</w:t>
      </w:r>
      <w:r>
        <w:rPr>
          <w:sz w:val="28"/>
          <w:szCs w:val="28"/>
        </w:rPr>
        <w:t>ый</w:t>
      </w:r>
      <w:r w:rsidR="0086786B" w:rsidRPr="00B80863">
        <w:rPr>
          <w:sz w:val="28"/>
          <w:szCs w:val="28"/>
        </w:rPr>
        <w:t xml:space="preserve"> надзор, процесс его становления в Республике Беларусь.</w:t>
      </w:r>
    </w:p>
    <w:p w:rsidR="00B80863" w:rsidRDefault="00B80863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>М</w:t>
      </w:r>
      <w:r w:rsidR="0086786B" w:rsidRPr="00B80863">
        <w:rPr>
          <w:sz w:val="28"/>
          <w:szCs w:val="28"/>
        </w:rPr>
        <w:t>акропруденциальн</w:t>
      </w:r>
      <w:r w:rsidRPr="00B80863">
        <w:rPr>
          <w:sz w:val="28"/>
          <w:szCs w:val="28"/>
        </w:rPr>
        <w:t>ый</w:t>
      </w:r>
      <w:r w:rsidR="0086786B" w:rsidRPr="00B80863">
        <w:rPr>
          <w:sz w:val="28"/>
          <w:szCs w:val="28"/>
        </w:rPr>
        <w:t xml:space="preserve">  надзор, его </w:t>
      </w:r>
      <w:r w:rsidRPr="00B80863">
        <w:rPr>
          <w:sz w:val="28"/>
          <w:szCs w:val="28"/>
        </w:rPr>
        <w:t>роль</w:t>
      </w:r>
      <w:r w:rsidR="0086786B" w:rsidRPr="00B80863">
        <w:rPr>
          <w:sz w:val="28"/>
          <w:szCs w:val="28"/>
        </w:rPr>
        <w:t xml:space="preserve"> </w:t>
      </w:r>
      <w:r w:rsidRPr="00B80863">
        <w:rPr>
          <w:sz w:val="28"/>
          <w:szCs w:val="28"/>
        </w:rPr>
        <w:t>в поддержании стабильности банковской системы.</w:t>
      </w:r>
      <w:r w:rsidR="0086786B" w:rsidRPr="00B80863">
        <w:rPr>
          <w:sz w:val="28"/>
          <w:szCs w:val="28"/>
        </w:rPr>
        <w:t xml:space="preserve"> </w:t>
      </w:r>
    </w:p>
    <w:p w:rsidR="00B80863" w:rsidRDefault="00B80863" w:rsidP="00B80863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Персональный банковский надзор, его реализация </w:t>
      </w:r>
      <w:r w:rsidR="0086786B" w:rsidRPr="00B80863">
        <w:rPr>
          <w:sz w:val="28"/>
          <w:szCs w:val="28"/>
        </w:rPr>
        <w:t>Национальн</w:t>
      </w:r>
      <w:r>
        <w:rPr>
          <w:sz w:val="28"/>
          <w:szCs w:val="28"/>
        </w:rPr>
        <w:t>ым</w:t>
      </w:r>
      <w:r w:rsidR="0086786B" w:rsidRPr="00B80863">
        <w:rPr>
          <w:sz w:val="28"/>
          <w:szCs w:val="28"/>
        </w:rPr>
        <w:t xml:space="preserve"> банк</w:t>
      </w:r>
      <w:r>
        <w:rPr>
          <w:sz w:val="28"/>
          <w:szCs w:val="28"/>
        </w:rPr>
        <w:t xml:space="preserve">ом </w:t>
      </w:r>
      <w:r w:rsidR="0086786B" w:rsidRPr="00B80863">
        <w:rPr>
          <w:sz w:val="28"/>
          <w:szCs w:val="28"/>
        </w:rPr>
        <w:t>Республики Б</w:t>
      </w:r>
      <w:r w:rsidR="0086786B" w:rsidRPr="00B80863">
        <w:rPr>
          <w:sz w:val="28"/>
          <w:szCs w:val="28"/>
        </w:rPr>
        <w:t>е</w:t>
      </w:r>
      <w:r w:rsidR="0086786B" w:rsidRPr="00B80863">
        <w:rPr>
          <w:sz w:val="28"/>
          <w:szCs w:val="28"/>
        </w:rPr>
        <w:t>ларусь.</w:t>
      </w:r>
    </w:p>
    <w:p w:rsidR="00B80863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>Базельские принципы банковского надзора: их содержание, группиро</w:t>
      </w:r>
      <w:r w:rsidRPr="00B80863">
        <w:rPr>
          <w:sz w:val="28"/>
          <w:szCs w:val="28"/>
        </w:rPr>
        <w:t>в</w:t>
      </w:r>
      <w:r w:rsidRPr="00B80863">
        <w:rPr>
          <w:sz w:val="28"/>
          <w:szCs w:val="28"/>
        </w:rPr>
        <w:t xml:space="preserve">ка, эволюция. </w:t>
      </w:r>
    </w:p>
    <w:p w:rsidR="0086786B" w:rsidRPr="00B80863" w:rsidRDefault="0086786B" w:rsidP="0086786B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B80863">
        <w:rPr>
          <w:sz w:val="28"/>
          <w:szCs w:val="28"/>
        </w:rPr>
        <w:t>Порядок осуществления регистрационного и лицензионн</w:t>
      </w:r>
      <w:r w:rsidRPr="00B80863">
        <w:rPr>
          <w:sz w:val="28"/>
          <w:szCs w:val="28"/>
        </w:rPr>
        <w:t>о</w:t>
      </w:r>
      <w:r w:rsidRPr="00B80863">
        <w:rPr>
          <w:sz w:val="28"/>
          <w:szCs w:val="28"/>
        </w:rPr>
        <w:t>го права в Республике Беларусь</w:t>
      </w:r>
    </w:p>
    <w:p w:rsidR="0086786B" w:rsidRDefault="0086786B" w:rsidP="0086786B">
      <w:pPr>
        <w:jc w:val="both"/>
        <w:rPr>
          <w:b/>
          <w:i/>
          <w:sz w:val="28"/>
          <w:szCs w:val="28"/>
        </w:rPr>
      </w:pPr>
    </w:p>
    <w:p w:rsidR="00DD11E0" w:rsidRDefault="00DD11E0"/>
    <w:sectPr w:rsidR="00DD11E0" w:rsidSect="00DD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7A2"/>
    <w:multiLevelType w:val="hybridMultilevel"/>
    <w:tmpl w:val="71BC9B34"/>
    <w:lvl w:ilvl="0" w:tplc="4760BF4C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0DEC43DB"/>
    <w:multiLevelType w:val="hybridMultilevel"/>
    <w:tmpl w:val="7CEA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4A8"/>
    <w:multiLevelType w:val="hybridMultilevel"/>
    <w:tmpl w:val="17EC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1930"/>
    <w:multiLevelType w:val="hybridMultilevel"/>
    <w:tmpl w:val="1CEC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635D"/>
    <w:multiLevelType w:val="hybridMultilevel"/>
    <w:tmpl w:val="0596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10AF"/>
    <w:multiLevelType w:val="hybridMultilevel"/>
    <w:tmpl w:val="995E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FF6"/>
    <w:multiLevelType w:val="hybridMultilevel"/>
    <w:tmpl w:val="EDD4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F4C2B"/>
    <w:multiLevelType w:val="hybridMultilevel"/>
    <w:tmpl w:val="7712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109AE"/>
    <w:multiLevelType w:val="hybridMultilevel"/>
    <w:tmpl w:val="1874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B3C30"/>
    <w:multiLevelType w:val="hybridMultilevel"/>
    <w:tmpl w:val="47C6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5801"/>
    <w:multiLevelType w:val="hybridMultilevel"/>
    <w:tmpl w:val="1FECF11C"/>
    <w:lvl w:ilvl="0" w:tplc="A7363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11CA7"/>
    <w:multiLevelType w:val="hybridMultilevel"/>
    <w:tmpl w:val="CF10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7965"/>
    <w:multiLevelType w:val="hybridMultilevel"/>
    <w:tmpl w:val="AF5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786B"/>
    <w:rsid w:val="0086786B"/>
    <w:rsid w:val="00B67CCD"/>
    <w:rsid w:val="00B80863"/>
    <w:rsid w:val="00D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86B"/>
    <w:pPr>
      <w:spacing w:line="288" w:lineRule="auto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86786B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rsid w:val="008678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7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86786B"/>
    <w:rPr>
      <w:b/>
      <w:bCs/>
    </w:rPr>
  </w:style>
  <w:style w:type="paragraph" w:styleId="a8">
    <w:name w:val="List Paragraph"/>
    <w:basedOn w:val="a"/>
    <w:uiPriority w:val="34"/>
    <w:qFormat/>
    <w:rsid w:val="00867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2016-12-02T18:25:00Z</dcterms:created>
  <dcterms:modified xsi:type="dcterms:W3CDTF">2016-12-02T18:45:00Z</dcterms:modified>
</cp:coreProperties>
</file>