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46" w:rsidRPr="007F265A" w:rsidRDefault="00E64746" w:rsidP="00643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65A">
        <w:rPr>
          <w:rFonts w:ascii="Times New Roman" w:hAnsi="Times New Roman"/>
          <w:b/>
          <w:sz w:val="28"/>
          <w:szCs w:val="28"/>
        </w:rPr>
        <w:t xml:space="preserve">Дополнения и </w:t>
      </w:r>
      <w:bookmarkStart w:id="0" w:name="_GoBack"/>
      <w:bookmarkEnd w:id="0"/>
      <w:r w:rsidRPr="007F265A">
        <w:rPr>
          <w:rFonts w:ascii="Times New Roman" w:hAnsi="Times New Roman"/>
          <w:b/>
          <w:sz w:val="28"/>
          <w:szCs w:val="28"/>
        </w:rPr>
        <w:t>изменения</w:t>
      </w:r>
    </w:p>
    <w:p w:rsidR="00E64746" w:rsidRPr="007F265A" w:rsidRDefault="00E64746" w:rsidP="00643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65A">
        <w:rPr>
          <w:rFonts w:ascii="Times New Roman" w:hAnsi="Times New Roman"/>
          <w:b/>
          <w:sz w:val="28"/>
          <w:szCs w:val="28"/>
        </w:rPr>
        <w:t>к учебной программе по изучаемой учебной дисциплине</w:t>
      </w:r>
    </w:p>
    <w:p w:rsidR="00E64746" w:rsidRPr="007F265A" w:rsidRDefault="00E64746" w:rsidP="00643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65A">
        <w:rPr>
          <w:rFonts w:ascii="Times New Roman" w:hAnsi="Times New Roman"/>
          <w:b/>
          <w:sz w:val="28"/>
          <w:szCs w:val="28"/>
        </w:rPr>
        <w:t xml:space="preserve">«Национальная экономика Беларуси» </w:t>
      </w:r>
    </w:p>
    <w:p w:rsidR="00E64746" w:rsidRDefault="00E64746" w:rsidP="006430EB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059F7">
        <w:rPr>
          <w:rFonts w:ascii="Times New Roman" w:hAnsi="Times New Roman"/>
          <w:sz w:val="28"/>
          <w:szCs w:val="28"/>
        </w:rPr>
        <w:t>для студентов I ступени</w:t>
      </w:r>
      <w:r>
        <w:rPr>
          <w:rFonts w:ascii="Times New Roman" w:hAnsi="Times New Roman"/>
          <w:sz w:val="28"/>
          <w:szCs w:val="28"/>
        </w:rPr>
        <w:t xml:space="preserve"> получения высшего образования дневной</w:t>
      </w:r>
      <w:r w:rsidRPr="006059F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6059F7">
        <w:rPr>
          <w:rFonts w:ascii="Times New Roman" w:hAnsi="Times New Roman"/>
          <w:sz w:val="28"/>
          <w:szCs w:val="28"/>
        </w:rPr>
        <w:t xml:space="preserve"> обучения специальностей 1-25 01 03 01 «Мировая экономика» (специализация «Управление внешнеэкономической деятельностью»), дневной формы обучения </w:t>
      </w:r>
      <w:r>
        <w:rPr>
          <w:rFonts w:ascii="Times New Roman" w:hAnsi="Times New Roman"/>
          <w:sz w:val="28"/>
          <w:szCs w:val="28"/>
        </w:rPr>
        <w:t>специальностей 1-23 01 05 06</w:t>
      </w:r>
      <w:r w:rsidRPr="00EF0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«Социология» </w:t>
      </w:r>
      <w:r w:rsidRPr="006059F7">
        <w:rPr>
          <w:rFonts w:ascii="Times New Roman" w:hAnsi="Times New Roman"/>
          <w:sz w:val="28"/>
          <w:szCs w:val="28"/>
        </w:rPr>
        <w:t xml:space="preserve">(направление </w:t>
      </w:r>
      <w:r w:rsidRPr="00750CF4">
        <w:rPr>
          <w:rFonts w:ascii="Times New Roman" w:hAnsi="Times New Roman"/>
          <w:sz w:val="28"/>
          <w:szCs w:val="28"/>
        </w:rPr>
        <w:t>специализации</w:t>
      </w:r>
      <w:r>
        <w:rPr>
          <w:rFonts w:ascii="Times New Roman" w:hAnsi="Times New Roman"/>
          <w:sz w:val="28"/>
          <w:szCs w:val="28"/>
        </w:rPr>
        <w:t xml:space="preserve"> «Экономическая социология»), 1-23 01 06</w:t>
      </w:r>
      <w:r w:rsidRPr="00EF0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«Политология» </w:t>
      </w:r>
      <w:r w:rsidRPr="006059F7">
        <w:rPr>
          <w:rFonts w:ascii="Times New Roman" w:hAnsi="Times New Roman"/>
          <w:sz w:val="28"/>
          <w:szCs w:val="28"/>
        </w:rPr>
        <w:t>(направление специализации</w:t>
      </w:r>
      <w:r>
        <w:rPr>
          <w:rFonts w:ascii="Times New Roman" w:hAnsi="Times New Roman"/>
          <w:sz w:val="28"/>
          <w:szCs w:val="28"/>
        </w:rPr>
        <w:t xml:space="preserve"> «Политический менеджмент»), «Психология» </w:t>
      </w:r>
      <w:r w:rsidRPr="006059F7">
        <w:rPr>
          <w:rFonts w:ascii="Times New Roman" w:hAnsi="Times New Roman"/>
          <w:sz w:val="28"/>
          <w:szCs w:val="28"/>
        </w:rPr>
        <w:t>(направление специализации</w:t>
      </w:r>
      <w:r>
        <w:rPr>
          <w:rFonts w:ascii="Times New Roman" w:hAnsi="Times New Roman"/>
          <w:sz w:val="28"/>
          <w:szCs w:val="28"/>
        </w:rPr>
        <w:t xml:space="preserve"> 1-23 01 04 10 «Психология предпринимательской деятельности») </w:t>
      </w:r>
      <w:r w:rsidRPr="006059F7">
        <w:rPr>
          <w:rFonts w:ascii="Times New Roman" w:hAnsi="Times New Roman"/>
          <w:sz w:val="28"/>
          <w:szCs w:val="28"/>
        </w:rPr>
        <w:t>на 2019/2020 учебный год</w:t>
      </w:r>
    </w:p>
    <w:p w:rsidR="00E64746" w:rsidRPr="004A3AA4" w:rsidRDefault="00E64746" w:rsidP="006059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804"/>
        <w:gridCol w:w="1950"/>
      </w:tblGrid>
      <w:tr w:rsidR="00E64746" w:rsidRPr="00B2668D" w:rsidTr="007F265A">
        <w:trPr>
          <w:jc w:val="center"/>
        </w:trPr>
        <w:tc>
          <w:tcPr>
            <w:tcW w:w="817" w:type="dxa"/>
          </w:tcPr>
          <w:p w:rsidR="00E64746" w:rsidRPr="00B2668D" w:rsidRDefault="00E64746" w:rsidP="00B26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68D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6804" w:type="dxa"/>
            <w:vAlign w:val="center"/>
          </w:tcPr>
          <w:p w:rsidR="00E64746" w:rsidRPr="00B2668D" w:rsidRDefault="00E64746" w:rsidP="007F2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68D">
              <w:rPr>
                <w:rFonts w:ascii="Times New Roman" w:hAnsi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1950" w:type="dxa"/>
            <w:vAlign w:val="center"/>
          </w:tcPr>
          <w:p w:rsidR="00E64746" w:rsidRPr="00B2668D" w:rsidRDefault="00E64746" w:rsidP="007F2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68D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E64746" w:rsidRPr="007F265A" w:rsidTr="00B2668D">
        <w:trPr>
          <w:jc w:val="center"/>
        </w:trPr>
        <w:tc>
          <w:tcPr>
            <w:tcW w:w="817" w:type="dxa"/>
          </w:tcPr>
          <w:p w:rsidR="00E64746" w:rsidRPr="007F265A" w:rsidRDefault="00E64746" w:rsidP="00B2668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E64746" w:rsidRPr="007F265A" w:rsidRDefault="00E64746" w:rsidP="00B2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7"/>
                <w:szCs w:val="27"/>
              </w:rPr>
            </w:pPr>
            <w:r w:rsidRPr="007F265A">
              <w:rPr>
                <w:rFonts w:ascii="Times New Roman" w:hAnsi="Times New Roman"/>
                <w:b/>
                <w:i/>
                <w:caps/>
                <w:sz w:val="27"/>
                <w:szCs w:val="27"/>
              </w:rPr>
              <w:t>Литература</w:t>
            </w:r>
          </w:p>
          <w:p w:rsidR="00E64746" w:rsidRPr="007F265A" w:rsidRDefault="00E64746" w:rsidP="00B266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292929"/>
                <w:sz w:val="27"/>
                <w:szCs w:val="27"/>
              </w:rPr>
            </w:pPr>
            <w:r w:rsidRPr="007F265A">
              <w:rPr>
                <w:rFonts w:ascii="Times New Roman" w:hAnsi="Times New Roman"/>
                <w:b/>
                <w:i/>
                <w:color w:val="292929"/>
                <w:sz w:val="27"/>
                <w:szCs w:val="27"/>
              </w:rPr>
              <w:t>Основная</w:t>
            </w:r>
          </w:p>
          <w:p w:rsidR="00E64746" w:rsidRPr="007F265A" w:rsidRDefault="00E64746" w:rsidP="00B2668D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 w:line="240" w:lineRule="auto"/>
              <w:ind w:left="567" w:hanging="567"/>
              <w:jc w:val="both"/>
              <w:rPr>
                <w:rFonts w:ascii="Times New Roman" w:hAnsi="Times New Roman"/>
                <w:color w:val="292929"/>
                <w:sz w:val="27"/>
                <w:szCs w:val="27"/>
              </w:rPr>
            </w:pPr>
            <w:r w:rsidRPr="007F265A">
              <w:rPr>
                <w:rFonts w:ascii="Times New Roman" w:hAnsi="Times New Roman"/>
                <w:color w:val="292929"/>
                <w:sz w:val="27"/>
                <w:szCs w:val="27"/>
              </w:rPr>
              <w:t>Национальная экономика Беларуси: учебник / В. Н. Шимов [и др.]; под ред. В. Н. Шимова. – 5-е изд., испр. – Минск: БГЭУ, 2018. – 650 с.</w:t>
            </w:r>
          </w:p>
          <w:p w:rsidR="00E64746" w:rsidRPr="007F265A" w:rsidRDefault="00E64746" w:rsidP="00B2668D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 w:line="240" w:lineRule="auto"/>
              <w:ind w:left="567" w:hanging="567"/>
              <w:jc w:val="both"/>
              <w:rPr>
                <w:rFonts w:ascii="Times New Roman" w:hAnsi="Times New Roman"/>
                <w:color w:val="292929"/>
                <w:sz w:val="27"/>
                <w:szCs w:val="27"/>
              </w:rPr>
            </w:pPr>
            <w:r w:rsidRPr="007F265A">
              <w:rPr>
                <w:rFonts w:ascii="Times New Roman" w:hAnsi="Times New Roman"/>
                <w:color w:val="292929"/>
                <w:sz w:val="27"/>
                <w:szCs w:val="27"/>
              </w:rPr>
              <w:t xml:space="preserve">Программа социально-экономического развития Республики Беларусь на 2016–2020 годы [Электронный ресурс]: Нац. комис. по устойчивому развитию Респ. Беларусь; Рабочая группа по устойчивому развитию Респ. Беларусь. – Режим доступа: </w:t>
            </w:r>
            <w:hyperlink r:id="rId5" w:history="1">
              <w:r w:rsidRPr="007F265A">
                <w:rPr>
                  <w:rStyle w:val="Hyperlink"/>
                  <w:rFonts w:ascii="Times New Roman" w:hAnsi="Times New Roman"/>
                  <w:color w:val="292929"/>
                  <w:sz w:val="27"/>
                  <w:szCs w:val="27"/>
                </w:rPr>
                <w:t>http://www.government.by/upload/docs/</w:t>
              </w:r>
            </w:hyperlink>
            <w:r w:rsidRPr="007F265A">
              <w:rPr>
                <w:rFonts w:ascii="Times New Roman" w:hAnsi="Times New Roman"/>
                <w:color w:val="292929"/>
                <w:sz w:val="27"/>
                <w:szCs w:val="27"/>
              </w:rPr>
              <w:t xml:space="preserve"> program_ek2016–2020.pdf. – Дата доступа: 04.02.2018. </w:t>
            </w:r>
          </w:p>
          <w:p w:rsidR="00E64746" w:rsidRPr="007F265A" w:rsidRDefault="00E64746" w:rsidP="00B2668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292929"/>
                <w:sz w:val="27"/>
                <w:szCs w:val="27"/>
              </w:rPr>
            </w:pP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Gusacov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G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Shpak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P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Nizhevich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L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I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Lomakina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L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Kireenko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N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Kondratenko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S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Baygot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L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N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Baygot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M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S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Kazakevich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I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Batova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N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N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Akhramovich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S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Verokha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L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M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Gusacov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G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Gusacova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I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Enchik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L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T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Karpovich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N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Kuz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`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mich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L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I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Lobanova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L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Makutsenya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E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P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Mitskevich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S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M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Pashkevich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D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S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Svistun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O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Steshits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O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.,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Shabunya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L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Prodovol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`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stvennaya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bezopasnost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`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Respubliki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Belarus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`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v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usloviyakh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funktsionirovaniya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Evraziyskogo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ekonomicheskogo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soyuza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.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 xml:space="preserve">Monitoring-2015 [Food security of the Republiki Belarus in the conditions of functioning of the Eurasian Economic Union. Monitoring-2015 ]. </w:t>
            </w:r>
            <w:smartTag w:uri="urn:schemas-microsoft-com:office:smarttags" w:element="City">
              <w:r w:rsidRPr="007F265A">
                <w:rPr>
                  <w:rFonts w:ascii="Times New Roman" w:hAnsi="Times New Roman"/>
                  <w:color w:val="292929"/>
                  <w:sz w:val="27"/>
                  <w:szCs w:val="27"/>
                  <w:lang w:val="en-US" w:eastAsia="ru-RU"/>
                </w:rPr>
                <w:t>Minsk</w:t>
              </w:r>
            </w:smartTag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 xml:space="preserve">, The Institute of System Research in Agro-industrial Complex of the National Academy of Sciences of </w:t>
            </w:r>
            <w:smartTag w:uri="urn:schemas-microsoft-com:office:smarttags" w:element="country-region">
              <w:smartTag w:uri="urn:schemas-microsoft-com:office:smarttags" w:element="place">
                <w:r w:rsidRPr="007F265A">
                  <w:rPr>
                    <w:rFonts w:ascii="Times New Roman" w:hAnsi="Times New Roman"/>
                    <w:color w:val="292929"/>
                    <w:sz w:val="27"/>
                    <w:szCs w:val="27"/>
                    <w:lang w:val="en-US" w:eastAsia="ru-RU"/>
                  </w:rPr>
                  <w:t>Belarus</w:t>
                </w:r>
              </w:smartTag>
            </w:smartTag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 xml:space="preserve">, 2016, vol. 2.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141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>p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. (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val="en-US" w:eastAsia="ru-RU"/>
              </w:rPr>
              <w:t xml:space="preserve">In Russian).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  </w:t>
            </w:r>
          </w:p>
          <w:p w:rsidR="00E64746" w:rsidRPr="007F265A" w:rsidRDefault="00E64746" w:rsidP="00B2668D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i/>
                <w:color w:val="292929"/>
                <w:sz w:val="27"/>
                <w:szCs w:val="27"/>
                <w:lang w:eastAsia="ru-RU"/>
              </w:rPr>
            </w:pPr>
          </w:p>
          <w:p w:rsidR="00E64746" w:rsidRPr="007F265A" w:rsidRDefault="00E64746" w:rsidP="00B2668D">
            <w:pPr>
              <w:suppressAutoHyphens/>
              <w:spacing w:after="0" w:line="240" w:lineRule="auto"/>
              <w:ind w:left="702" w:firstLine="709"/>
              <w:contextualSpacing/>
              <w:jc w:val="center"/>
              <w:rPr>
                <w:rFonts w:ascii="Times New Roman" w:hAnsi="Times New Roman"/>
                <w:b/>
                <w:i/>
                <w:color w:val="292929"/>
                <w:sz w:val="27"/>
                <w:szCs w:val="27"/>
                <w:lang w:eastAsia="ru-RU"/>
              </w:rPr>
            </w:pPr>
            <w:r w:rsidRPr="007F265A">
              <w:rPr>
                <w:rFonts w:ascii="Times New Roman" w:hAnsi="Times New Roman"/>
                <w:b/>
                <w:i/>
                <w:color w:val="292929"/>
                <w:sz w:val="27"/>
                <w:szCs w:val="27"/>
                <w:lang w:eastAsia="ru-RU"/>
              </w:rPr>
              <w:t>Дополнительная</w:t>
            </w:r>
          </w:p>
          <w:p w:rsidR="00E64746" w:rsidRPr="007F265A" w:rsidRDefault="00E64746" w:rsidP="00B2668D">
            <w:pPr>
              <w:widowControl w:val="0"/>
              <w:suppressAutoHyphens/>
              <w:spacing w:after="0" w:line="240" w:lineRule="auto"/>
              <w:ind w:firstLine="644"/>
              <w:contextualSpacing/>
              <w:jc w:val="both"/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</w:pP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1.  Основные итоги разработки Системы национальных счетов Республики Беларусь за 2017 год / Нац. стат. комитет Респ. Беларусь. – Минск: Информационно-вычислительный центр Национального статистического комитета Республики Беларусь, 2018. – 25 с.</w:t>
            </w:r>
          </w:p>
          <w:p w:rsidR="00E64746" w:rsidRPr="007F265A" w:rsidRDefault="00E64746" w:rsidP="00B2668D">
            <w:pPr>
              <w:widowControl w:val="0"/>
              <w:suppressAutoHyphens/>
              <w:spacing w:after="0" w:line="240" w:lineRule="auto"/>
              <w:ind w:firstLine="644"/>
              <w:contextualSpacing/>
              <w:jc w:val="both"/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</w:pP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2. Статистический ежегодник 2018 / Нац. стат. комитет Респ. Беларусь; редкол.: И. В. Медведева, И. С. Кангро [и др.]. – Минск: Информационно-вычислительный центр Национального статистического комитета Республики Беларусь, 2018. – 489 с. </w:t>
            </w:r>
          </w:p>
          <w:p w:rsidR="00E64746" w:rsidRPr="007F265A" w:rsidRDefault="00E64746" w:rsidP="00B2668D">
            <w:pPr>
              <w:widowControl w:val="0"/>
              <w:suppressAutoHyphens/>
              <w:spacing w:after="0" w:line="240" w:lineRule="auto"/>
              <w:ind w:firstLine="644"/>
              <w:contextualSpacing/>
              <w:jc w:val="both"/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</w:pP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3.  Сельское хозяйство Республики Беларусь: стат. сб. / Нац. стат. комитет Респ. Беларусь; редкол.: З. В. Якубовская [и др.]. – Минск: Информационно-вычислительный центр Национального статистического комитета Республики Беларусь, 2018. – 235 с.</w:t>
            </w:r>
          </w:p>
          <w:p w:rsidR="00E64746" w:rsidRPr="007F265A" w:rsidRDefault="00E64746" w:rsidP="00B2668D">
            <w:pPr>
              <w:widowControl w:val="0"/>
              <w:suppressAutoHyphens/>
              <w:spacing w:after="0" w:line="240" w:lineRule="auto"/>
              <w:ind w:firstLine="644"/>
              <w:contextualSpacing/>
              <w:jc w:val="both"/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</w:pP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4. Промышленность Республики Беларусь: стат. сб. / Нац. стат. комитет Респ. Беларусь; редкол.: А. С. Снетков [и др.]. – Минск: Информационно-вычислительный центр Национального статистического комитета Республики Беларусь, 2018. – 194 с.</w:t>
            </w:r>
          </w:p>
          <w:p w:rsidR="00E64746" w:rsidRPr="007F265A" w:rsidRDefault="00E64746" w:rsidP="00B2668D">
            <w:pPr>
              <w:widowControl w:val="0"/>
              <w:suppressAutoHyphens/>
              <w:spacing w:after="0" w:line="277" w:lineRule="auto"/>
              <w:ind w:firstLine="646"/>
              <w:contextualSpacing/>
              <w:jc w:val="both"/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</w:pP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5. Отчет о промышленном развитии – 2016. Роль технологий и инноваций во всеохватывающем и устойчивом промышленном развитии [Электронный ресурс] // Организация объединенных наций по промышленному развитию. – Режим доступа: https://www.unido.org/sites/ default/files/2015-12/EBOOK IDR. – Дата доступа: 08.12.2018. </w:t>
            </w:r>
          </w:p>
          <w:p w:rsidR="00E64746" w:rsidRPr="007F265A" w:rsidRDefault="00E64746" w:rsidP="00B2668D">
            <w:pPr>
              <w:widowControl w:val="0"/>
              <w:suppressAutoHyphens/>
              <w:spacing w:after="0" w:line="277" w:lineRule="auto"/>
              <w:ind w:firstLine="646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 xml:space="preserve">6. 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 xml:space="preserve">Декрета №7 «О развитии предпринимательства» от 23.11.2017г.; Указ №337 от 19.09.2017г. «О регулировании деятельности физических лиц». </w:t>
            </w:r>
          </w:p>
          <w:p w:rsidR="00E64746" w:rsidRPr="007F265A" w:rsidRDefault="00E64746" w:rsidP="00B2668D">
            <w:pPr>
              <w:widowControl w:val="0"/>
              <w:suppressAutoHyphens/>
              <w:spacing w:after="0" w:line="277" w:lineRule="auto"/>
              <w:ind w:firstLine="646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>7. Тенденции развития экономики и промышленности в условиях цифровизации / под ред. док. экон. наук, профессора А.В. Бабкина, издательство политехнического университета, Санкт-Петербург, 2017. – 659с.</w:t>
            </w:r>
          </w:p>
          <w:p w:rsidR="00E64746" w:rsidRPr="007F265A" w:rsidRDefault="00E64746" w:rsidP="00B2668D">
            <w:pPr>
              <w:widowControl w:val="0"/>
              <w:suppressAutoHyphens/>
              <w:spacing w:after="0" w:line="277" w:lineRule="auto"/>
              <w:ind w:firstLine="646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 xml:space="preserve">8. Статистика [Электронный ресурс] / Национальный банк Республики Беларусь. – Режим доступа: </w:t>
            </w:r>
            <w:hyperlink r:id="rId6" w:history="1">
              <w:r w:rsidRPr="007F265A">
                <w:rPr>
                  <w:rFonts w:ascii="Times New Roman" w:hAnsi="Times New Roman"/>
                  <w:snapToGrid w:val="0"/>
                  <w:color w:val="000000"/>
                  <w:sz w:val="27"/>
                  <w:szCs w:val="27"/>
                  <w:lang w:eastAsia="ru-RU"/>
                </w:rPr>
                <w:t>http://www.nbrb.by/statistics/ForexMarket/</w:t>
              </w:r>
            </w:hyperlink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 xml:space="preserve"> AvrExRate. – Дата доступа: 08.03.2019.</w:t>
            </w:r>
          </w:p>
          <w:p w:rsidR="00E64746" w:rsidRPr="007F265A" w:rsidRDefault="00E64746" w:rsidP="00B2668D">
            <w:pPr>
              <w:widowControl w:val="0"/>
              <w:suppressAutoHyphens/>
              <w:spacing w:after="0" w:line="277" w:lineRule="auto"/>
              <w:ind w:firstLine="646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 xml:space="preserve">9. Об утверждении Концепции национальной безопасности Республики Беларусь [Электронный ресурс] : указ президента Респ. Беларусь, 9 нояб.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F265A">
                <w:rPr>
                  <w:rFonts w:ascii="Times New Roman" w:hAnsi="Times New Roman"/>
                  <w:snapToGrid w:val="0"/>
                  <w:color w:val="000000"/>
                  <w:sz w:val="27"/>
                  <w:szCs w:val="27"/>
                  <w:lang w:eastAsia="ru-RU"/>
                </w:rPr>
                <w:t>2010 г</w:t>
              </w:r>
            </w:smartTag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 xml:space="preserve">., № 575 // </w:t>
            </w: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КонсультантПлюс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 xml:space="preserve">. Беларусь / ООО «ЮрСпектр», Нац. Центр паравовой информ. Респ. Беларусь. – Минск, 2017. </w:t>
            </w:r>
          </w:p>
          <w:p w:rsidR="00E64746" w:rsidRPr="007F265A" w:rsidRDefault="00E64746" w:rsidP="00B2668D">
            <w:pPr>
              <w:widowControl w:val="0"/>
              <w:suppressAutoHyphens/>
              <w:spacing w:after="0" w:line="277" w:lineRule="auto"/>
              <w:ind w:firstLine="646"/>
              <w:contextualSpacing/>
              <w:jc w:val="both"/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 xml:space="preserve">10. О Концепции согласованной (скоординированной) агропромышленной  политики государств-членов Таможенного союза и Единого экономического пространства [Электронный ресурс] // Информационно-правовая система нормативных правовых актов Республики Казахстан. – Режим доступа: 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val="en-US" w:eastAsia="ru-RU"/>
              </w:rPr>
              <w:t>http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 xml:space="preserve">: // 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val="en-US" w:eastAsia="ru-RU"/>
              </w:rPr>
              <w:t>adilet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>.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val="en-US" w:eastAsia="ru-RU"/>
              </w:rPr>
              <w:t>zan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>/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val="en-US" w:eastAsia="ru-RU"/>
              </w:rPr>
              <w:t>kz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>/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val="en-US" w:eastAsia="ru-RU"/>
              </w:rPr>
              <w:t>rus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>/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val="en-US" w:eastAsia="ru-RU"/>
              </w:rPr>
              <w:t>docs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>/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val="en-US" w:eastAsia="ru-RU"/>
              </w:rPr>
              <w:t>H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>13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val="en-US" w:eastAsia="ru-RU"/>
              </w:rPr>
              <w:t>B</w:t>
            </w:r>
            <w:r w:rsidRPr="007F265A">
              <w:rPr>
                <w:rFonts w:ascii="Times New Roman" w:hAnsi="Times New Roman"/>
                <w:snapToGrid w:val="0"/>
                <w:color w:val="000000"/>
                <w:sz w:val="27"/>
                <w:szCs w:val="27"/>
                <w:lang w:eastAsia="ru-RU"/>
              </w:rPr>
              <w:t xml:space="preserve">0000035. – Дата доступа: 20.10.2014г. </w:t>
            </w:r>
          </w:p>
          <w:p w:rsidR="00E64746" w:rsidRPr="007F265A" w:rsidRDefault="00E64746" w:rsidP="00B2668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265A">
              <w:rPr>
                <w:rFonts w:ascii="Times New Roman" w:hAnsi="Times New Roman"/>
                <w:color w:val="292929"/>
                <w:sz w:val="27"/>
                <w:szCs w:val="27"/>
                <w:lang w:eastAsia="ru-RU"/>
              </w:rPr>
              <w:t>и др.</w:t>
            </w:r>
          </w:p>
        </w:tc>
        <w:tc>
          <w:tcPr>
            <w:tcW w:w="1950" w:type="dxa"/>
          </w:tcPr>
          <w:p w:rsidR="00E64746" w:rsidRPr="007F265A" w:rsidRDefault="00E64746" w:rsidP="00B2668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F265A">
              <w:rPr>
                <w:rFonts w:ascii="Times New Roman" w:hAnsi="Times New Roman"/>
                <w:sz w:val="27"/>
                <w:szCs w:val="27"/>
              </w:rPr>
              <w:t xml:space="preserve">Новые </w:t>
            </w:r>
          </w:p>
          <w:p w:rsidR="00E64746" w:rsidRPr="007F265A" w:rsidRDefault="00E64746" w:rsidP="00B2668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F265A">
              <w:rPr>
                <w:rFonts w:ascii="Times New Roman" w:hAnsi="Times New Roman"/>
                <w:sz w:val="27"/>
                <w:szCs w:val="27"/>
              </w:rPr>
              <w:t>публикации</w:t>
            </w:r>
          </w:p>
        </w:tc>
      </w:tr>
    </w:tbl>
    <w:p w:rsidR="00E64746" w:rsidRPr="007F265A" w:rsidRDefault="00E64746" w:rsidP="00377E4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</w:t>
      </w:r>
      <w:r w:rsidRPr="007F265A">
        <w:rPr>
          <w:rFonts w:ascii="Times New Roman" w:hAnsi="Times New Roman"/>
          <w:sz w:val="27"/>
          <w:szCs w:val="27"/>
        </w:rPr>
        <w:t>чебная программа пересмотрена и одобрена на заседании кафедры эконо</w:t>
      </w:r>
      <w:r>
        <w:rPr>
          <w:rFonts w:ascii="Times New Roman" w:hAnsi="Times New Roman"/>
          <w:sz w:val="27"/>
          <w:szCs w:val="27"/>
        </w:rPr>
        <w:t>мики и управления (протокол № 1</w:t>
      </w:r>
      <w:r w:rsidRPr="006F7A8A">
        <w:rPr>
          <w:rFonts w:ascii="Times New Roman" w:hAnsi="Times New Roman"/>
          <w:sz w:val="27"/>
          <w:szCs w:val="27"/>
        </w:rPr>
        <w:t>3</w:t>
      </w:r>
      <w:r w:rsidRPr="007F265A">
        <w:rPr>
          <w:rFonts w:ascii="Times New Roman" w:hAnsi="Times New Roman"/>
          <w:sz w:val="27"/>
          <w:szCs w:val="27"/>
        </w:rPr>
        <w:t xml:space="preserve"> от 15 мая </w:t>
      </w:r>
      <w:smartTag w:uri="urn:schemas-microsoft-com:office:smarttags" w:element="metricconverter">
        <w:smartTagPr>
          <w:attr w:name="ProductID" w:val="2019 г"/>
        </w:smartTagPr>
        <w:r w:rsidRPr="007F265A">
          <w:rPr>
            <w:rFonts w:ascii="Times New Roman" w:hAnsi="Times New Roman"/>
            <w:sz w:val="27"/>
            <w:szCs w:val="27"/>
          </w:rPr>
          <w:t>2019 г</w:t>
        </w:r>
      </w:smartTag>
      <w:r w:rsidRPr="007F265A">
        <w:rPr>
          <w:rFonts w:ascii="Times New Roman" w:hAnsi="Times New Roman"/>
          <w:sz w:val="27"/>
          <w:szCs w:val="27"/>
        </w:rPr>
        <w:t xml:space="preserve">.) </w:t>
      </w:r>
    </w:p>
    <w:p w:rsidR="00E64746" w:rsidRPr="007F265A" w:rsidRDefault="00E64746" w:rsidP="007F265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F265A">
        <w:rPr>
          <w:rFonts w:ascii="Times New Roman" w:hAnsi="Times New Roman"/>
          <w:sz w:val="27"/>
          <w:szCs w:val="27"/>
        </w:rPr>
        <w:t xml:space="preserve">Заведующий кафедрой экономики </w:t>
      </w:r>
    </w:p>
    <w:p w:rsidR="00E64746" w:rsidRPr="007F265A" w:rsidRDefault="00E64746" w:rsidP="007F265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F265A">
        <w:rPr>
          <w:rFonts w:ascii="Times New Roman" w:hAnsi="Times New Roman"/>
          <w:sz w:val="27"/>
          <w:szCs w:val="27"/>
        </w:rPr>
        <w:t>и управления канд.экон.наук, доц. ____________________ Н.А. Хаустович</w:t>
      </w:r>
    </w:p>
    <w:p w:rsidR="00E64746" w:rsidRDefault="00E64746" w:rsidP="007F2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746" w:rsidRDefault="00E64746" w:rsidP="007F2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E64746" w:rsidRDefault="00E64746" w:rsidP="007F2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факультета «Высшая школа управления и бизнеса» </w:t>
      </w:r>
    </w:p>
    <w:p w:rsidR="00E64746" w:rsidRDefault="00E64746" w:rsidP="007F2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Доцент, канд.экон.наук _________________________ С.Ю. Кричевский </w:t>
      </w:r>
    </w:p>
    <w:p w:rsidR="00E64746" w:rsidRPr="00377E4E" w:rsidRDefault="00E64746" w:rsidP="007F2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746" w:rsidRPr="00377E4E" w:rsidRDefault="00E64746" w:rsidP="007F2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64746" w:rsidRPr="00377E4E" w:rsidSect="00E0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09DF"/>
    <w:multiLevelType w:val="hybridMultilevel"/>
    <w:tmpl w:val="125A872C"/>
    <w:lvl w:ilvl="0" w:tplc="6CA20E62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F62"/>
    <w:rsid w:val="000C2A49"/>
    <w:rsid w:val="00110C02"/>
    <w:rsid w:val="001D1F62"/>
    <w:rsid w:val="002D25AC"/>
    <w:rsid w:val="00377E4E"/>
    <w:rsid w:val="003F7417"/>
    <w:rsid w:val="00431B74"/>
    <w:rsid w:val="0046125B"/>
    <w:rsid w:val="00464CAD"/>
    <w:rsid w:val="004A3AA4"/>
    <w:rsid w:val="006059F7"/>
    <w:rsid w:val="006430EB"/>
    <w:rsid w:val="006F7A8A"/>
    <w:rsid w:val="0072736C"/>
    <w:rsid w:val="00750CF4"/>
    <w:rsid w:val="007F265A"/>
    <w:rsid w:val="00857414"/>
    <w:rsid w:val="00875F56"/>
    <w:rsid w:val="00A80BD9"/>
    <w:rsid w:val="00AD32A2"/>
    <w:rsid w:val="00AF7FC5"/>
    <w:rsid w:val="00B2668D"/>
    <w:rsid w:val="00B529F2"/>
    <w:rsid w:val="00B7169E"/>
    <w:rsid w:val="00B8752B"/>
    <w:rsid w:val="00D54682"/>
    <w:rsid w:val="00E03003"/>
    <w:rsid w:val="00E24E82"/>
    <w:rsid w:val="00E57E97"/>
    <w:rsid w:val="00E64746"/>
    <w:rsid w:val="00EA7E0A"/>
    <w:rsid w:val="00EB653C"/>
    <w:rsid w:val="00EE3741"/>
    <w:rsid w:val="00EF0A3C"/>
    <w:rsid w:val="00F0476D"/>
    <w:rsid w:val="00F118FF"/>
    <w:rsid w:val="00F2689A"/>
    <w:rsid w:val="00FB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46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57E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rb.by/statistics/ForexMarket/" TargetMode="External"/><Relationship Id="rId5" Type="http://schemas.openxmlformats.org/officeDocument/2006/relationships/hyperlink" Target="http://www.government.by/upload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720</Words>
  <Characters>4104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и изменения</dc:title>
  <dc:subject/>
  <dc:creator>NikolayFedorovich</dc:creator>
  <cp:keywords/>
  <dc:description/>
  <cp:lastModifiedBy>user</cp:lastModifiedBy>
  <cp:revision>4</cp:revision>
  <cp:lastPrinted>2019-05-21T12:48:00Z</cp:lastPrinted>
  <dcterms:created xsi:type="dcterms:W3CDTF">2019-05-21T12:53:00Z</dcterms:created>
  <dcterms:modified xsi:type="dcterms:W3CDTF">2019-05-23T17:11:00Z</dcterms:modified>
</cp:coreProperties>
</file>