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D9" w:rsidRDefault="00566ED9" w:rsidP="00566E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ПРАКТИКУМ </w:t>
      </w:r>
    </w:p>
    <w:p w:rsidR="00566ED9" w:rsidRDefault="00566ED9" w:rsidP="00566E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566ED9" w:rsidRDefault="00566ED9" w:rsidP="00566ED9">
      <w:pPr>
        <w:spacing w:after="0"/>
        <w:ind w:left="360"/>
        <w:jc w:val="center"/>
        <w:rPr>
          <w:b/>
          <w:sz w:val="28"/>
          <w:szCs w:val="28"/>
        </w:rPr>
      </w:pPr>
      <w:r w:rsidRPr="00E44D9B">
        <w:rPr>
          <w:b/>
          <w:sz w:val="28"/>
          <w:szCs w:val="28"/>
        </w:rPr>
        <w:t>«</w:t>
      </w:r>
      <w:r w:rsidRPr="00E44D9B">
        <w:rPr>
          <w:b/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E44D9B">
        <w:rPr>
          <w:b/>
          <w:sz w:val="28"/>
          <w:szCs w:val="28"/>
        </w:rPr>
        <w:t>»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FC">
        <w:rPr>
          <w:rFonts w:ascii="Times New Roman" w:hAnsi="Times New Roman" w:cs="Times New Roman"/>
          <w:b/>
          <w:sz w:val="24"/>
          <w:szCs w:val="24"/>
        </w:rPr>
        <w:t>ПРОИЗВОДСТВЕННЫЕ СИТУАЦИИ ДЛЯ РЕШЕНИЯ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основании </w:t>
      </w:r>
      <w:proofErr w:type="gramStart"/>
      <w:r w:rsidRPr="00B65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приведенных</w:t>
      </w:r>
      <w:proofErr w:type="gramEnd"/>
      <w:r w:rsidRPr="00B65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ниже хозяйственных ситуации необходимо:</w:t>
      </w: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а) сформулировать содержание хозяйственной операции и составить бухгалтерскую проводку;</w:t>
      </w:r>
    </w:p>
    <w:p w:rsidR="00566ED9" w:rsidRPr="00B65EFC" w:rsidRDefault="00566ED9" w:rsidP="00566ED9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B65EFC">
        <w:rPr>
          <w:sz w:val="24"/>
          <w:szCs w:val="24"/>
        </w:rPr>
        <w:t xml:space="preserve">б) пояснить экономическую сущность каждой хозяйственной операции; 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в) назвать первичный документ, которым оформляется данная операция;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г) указать, в каких регистрах синтетического и аналитического учета будет отражена данная информация;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5EFC">
        <w:rPr>
          <w:rFonts w:ascii="Times New Roman" w:hAnsi="Times New Roman" w:cs="Times New Roman"/>
          <w:sz w:val="24"/>
          <w:szCs w:val="24"/>
        </w:rPr>
        <w:t>) сделать расчет недостающих показателей.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Согласно учетной политике товары на складе оптовой организации учитываются по покупным ценам.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1. Поступили на склад оптовой организации товары. По документам поставщика значится: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- стоимость отгруженных поставщиком товаров           8 000 </w:t>
      </w:r>
      <w:proofErr w:type="spellStart"/>
      <w:r w:rsidRPr="00B65EFC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B65EF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- транспортные расходы</w:t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      600 000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- НДС по товарам</w:t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20 %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2. При приемке на складе была установлена недостача товаров (</w:t>
      </w:r>
      <w:proofErr w:type="spellStart"/>
      <w:r w:rsidRPr="00B65EFC">
        <w:rPr>
          <w:rFonts w:ascii="Times New Roman" w:hAnsi="Times New Roman" w:cs="Times New Roman"/>
          <w:sz w:val="24"/>
          <w:szCs w:val="24"/>
        </w:rPr>
        <w:t>недовложение</w:t>
      </w:r>
      <w:proofErr w:type="spellEnd"/>
      <w:r w:rsidRPr="00B65EFC">
        <w:rPr>
          <w:rFonts w:ascii="Times New Roman" w:hAnsi="Times New Roman" w:cs="Times New Roman"/>
          <w:sz w:val="24"/>
          <w:szCs w:val="24"/>
        </w:rPr>
        <w:t>) по отпускным ценам  организации изготовителя   100 000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Претензия поставщиком признана обоснованной. </w:t>
      </w:r>
      <w:proofErr w:type="spellStart"/>
      <w:r w:rsidRPr="00B65EFC">
        <w:rPr>
          <w:rFonts w:ascii="Times New Roman" w:hAnsi="Times New Roman" w:cs="Times New Roman"/>
          <w:sz w:val="24"/>
          <w:szCs w:val="24"/>
        </w:rPr>
        <w:t>Недовложенный</w:t>
      </w:r>
      <w:proofErr w:type="spellEnd"/>
      <w:r w:rsidRPr="00B65EFC">
        <w:rPr>
          <w:rFonts w:ascii="Times New Roman" w:hAnsi="Times New Roman" w:cs="Times New Roman"/>
          <w:sz w:val="24"/>
          <w:szCs w:val="24"/>
        </w:rPr>
        <w:t xml:space="preserve"> товар поставлен организации.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3. Расчеты с поставщиком произведены, НДС принят к вычету.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2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Согласно учетной политике: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- товары на складе оптовой организации учитываются по покупным ценам.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- момент реализации – отгрузка.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1. Поставщику перечислен аванс 1000000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2. Поступили на склад оптовой организации товары. По документам поставщика значится: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- стоимость отгруженных поставщиком товаров           8 000 </w:t>
      </w:r>
      <w:proofErr w:type="spellStart"/>
      <w:r w:rsidRPr="00B65EFC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B65EF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- транспортные расходы</w:t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      600 000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- НДС по товарам</w:t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20 %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2. Данная партия товара реализована. Оптовая надбавка – 13%. После поступления денег на расчетный счет организации произведен окончательный расчет с поставщиком товара.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3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В организацию розничной торговой сети поступили кухонные комбайны. Свободная отпускная цена производителя 2 000 000 руб. за единицу. Торговая надбавка в розничной организации – 60%.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4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Организация приобрела социально-значимый товар (мука пшеничная) у изготовителя на территории РБ. Свободная отпускная цена производителя без НДС – 4000 руб. за 1 кг. Предельная торговая надбавка на данный товар установлена Министерством экономики РБ – 20%. Розничная организация применила торговую надбавку в размере 50%.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5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6ED9" w:rsidRPr="00B65EFC" w:rsidRDefault="00566ED9" w:rsidP="00566E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Поставщик отгружает покупателю (организации  оптовой торговли) яблоки в количестве 100 кг по цене 6000 руб. за 1 кг с НДС.</w:t>
      </w:r>
    </w:p>
    <w:p w:rsidR="00566ED9" w:rsidRPr="00B65EFC" w:rsidRDefault="00566ED9" w:rsidP="00566E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Условиями  договора  предусмотрено  предоставление  покупателю целевой скидки  на  отходы, образующиеся по нормативу в размере 5 процентов, в виде дополнительного  предоставления покупателю без оплаты 5 кг яблок. </w:t>
      </w:r>
    </w:p>
    <w:p w:rsidR="00566ED9" w:rsidRPr="00B65EFC" w:rsidRDefault="00566ED9" w:rsidP="00566E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Стоимость товара, подлежащая оплате по договору, составляет 600000 руб.</w:t>
      </w:r>
    </w:p>
    <w:p w:rsidR="00566ED9" w:rsidRPr="00B65EFC" w:rsidRDefault="00566ED9" w:rsidP="00566E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В накладной поставщика отгружаемый товар отражен отдельными строками следующим образом:</w:t>
      </w:r>
    </w:p>
    <w:p w:rsidR="00566ED9" w:rsidRPr="00B65EFC" w:rsidRDefault="00566ED9" w:rsidP="00566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730"/>
        <w:gridCol w:w="969"/>
        <w:gridCol w:w="851"/>
        <w:gridCol w:w="1417"/>
        <w:gridCol w:w="992"/>
        <w:gridCol w:w="985"/>
        <w:gridCol w:w="1283"/>
      </w:tblGrid>
      <w:tr w:rsidR="00566ED9" w:rsidRPr="00B65EFC" w:rsidTr="00A53725">
        <w:trPr>
          <w:trHeight w:val="60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товара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руб.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>НДС,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Сумма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НДС, 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руб.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 НДС, 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руб.  </w:t>
            </w:r>
          </w:p>
        </w:tc>
      </w:tr>
      <w:tr w:rsidR="00566ED9" w:rsidRPr="00B65EFC" w:rsidTr="00A53725"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Яблоки      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(Польша)    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Яблоки      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(Польша)    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(скидка на  </w:t>
            </w:r>
            <w:r w:rsidRPr="00B65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отходы)     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65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9" w:rsidRPr="00B65EFC" w:rsidRDefault="00566ED9" w:rsidP="00A53725">
            <w:pPr>
              <w:pStyle w:val="ConsPlusCell"/>
              <w:ind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ED9" w:rsidRPr="00B65EFC" w:rsidRDefault="00566ED9" w:rsidP="00566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При приемке товара было обнаружено испорченного товара в количестве 3 кг, о чем был составлен соответствующий акт.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Согласно учетной политике товары на складе оптовой организации учитываются по покупным ценам.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6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Организация занимается установлением справочно-правовых систем и проведением семинаров. При посещении семинара предоставляется 20%-ная скидка для организаций, которые уже приобрели справочно-правовую систему. Полная стоимость семинара 757125 руб., в т.ч. НДС – 20%. Семинар посетила организация, которая </w:t>
      </w:r>
      <w:r w:rsidRPr="00B65EFC">
        <w:rPr>
          <w:rFonts w:ascii="Times New Roman" w:hAnsi="Times New Roman" w:cs="Times New Roman"/>
          <w:sz w:val="24"/>
          <w:szCs w:val="24"/>
        </w:rPr>
        <w:lastRenderedPageBreak/>
        <w:t>приобрела справочно-правовую систему. Требуется отразить бухгалтерские записи по проведению семинара у организации поставщика и отразить расходы у клиента.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080"/>
        <w:gridCol w:w="1080"/>
        <w:gridCol w:w="1543"/>
      </w:tblGrid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543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66ED9" w:rsidRPr="00B65EFC" w:rsidTr="00A53725">
        <w:tc>
          <w:tcPr>
            <w:tcW w:w="9571" w:type="dxa"/>
            <w:gridSpan w:val="4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У поставщика:</w:t>
            </w: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1. Отражается выручка от реализации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2. Уплачен НДС в бюджет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3. Оплачено за семинар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9571" w:type="dxa"/>
            <w:gridSpan w:val="4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У клиента:</w:t>
            </w: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1. Отражается стоимость затрат на услуги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2. Отражается НДС на стоимость оказанных услуг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3. Оплачено поставщику с расчетного счета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4. НДС принят к вычету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7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Согласно учетной политике: </w:t>
      </w: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товары в торговом зале магазина учитываются по розничным  ценам.</w:t>
      </w:r>
    </w:p>
    <w:p w:rsidR="00566ED9" w:rsidRPr="00B65EFC" w:rsidRDefault="00566ED9" w:rsidP="00566ED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 Поступили в  торговый зал магазина товары, цены на которые регулируются. По документам поставщика значится:</w:t>
      </w: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стоимость поступивших товаров по отпускным ценам организации-изготовителя    </w:t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</w:r>
      <w:r w:rsidRPr="00B65E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15 000 </w:t>
      </w:r>
      <w:proofErr w:type="spellStart"/>
      <w:r w:rsidRPr="00B65EFC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B65EF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НДС по товарам                                                                                   20 %</w:t>
      </w:r>
    </w:p>
    <w:p w:rsidR="00566ED9" w:rsidRPr="00B65EFC" w:rsidRDefault="00566ED9" w:rsidP="00566ED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Торговая надбавка магазина установлена 20%. </w:t>
      </w: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Предельный размер торговой надбавки установлен Министерством экономики РБ в размере 30%.</w:t>
      </w: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b/>
          <w:sz w:val="24"/>
          <w:szCs w:val="24"/>
        </w:rPr>
        <w:t>3.</w:t>
      </w:r>
      <w:r w:rsidRPr="00B65EFC">
        <w:rPr>
          <w:rFonts w:ascii="Times New Roman" w:hAnsi="Times New Roman" w:cs="Times New Roman"/>
          <w:sz w:val="24"/>
          <w:szCs w:val="24"/>
        </w:rPr>
        <w:t xml:space="preserve"> Реализована за наличный расчет поступившая партия товаров.</w:t>
      </w: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Издержки обращения, относящиеся к реализованной партии товара  -     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800 000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8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Организация реализовала 10 упаковок товара по цене 2 400 000 руб. за упаковку (единицу) и в соответствии с Положением о скидках предоставило покупателю одну единицу бесплатно. Покупная стоимость единицы товара – 1 200 000 руб. При отгрузке дополнительная единица товара указывается в ТТН отдельной строкой с пометкой «товарная скидка». Требуется отразить на счетах бухгалтерского учета реализацию и списание дополнительного товара и у поставщика, а также </w:t>
      </w:r>
      <w:proofErr w:type="spellStart"/>
      <w:r w:rsidRPr="00B65EFC">
        <w:rPr>
          <w:rFonts w:ascii="Times New Roman" w:hAnsi="Times New Roman" w:cs="Times New Roman"/>
          <w:sz w:val="24"/>
          <w:szCs w:val="24"/>
        </w:rPr>
        <w:t>оприходование</w:t>
      </w:r>
      <w:proofErr w:type="spellEnd"/>
      <w:r w:rsidRPr="00B65EFC">
        <w:rPr>
          <w:rFonts w:ascii="Times New Roman" w:hAnsi="Times New Roman" w:cs="Times New Roman"/>
          <w:sz w:val="24"/>
          <w:szCs w:val="24"/>
        </w:rPr>
        <w:t xml:space="preserve"> данного товара у покупателя. Выручка отражается методом начисления, т.е. по отгрузке.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080"/>
        <w:gridCol w:w="1079"/>
        <w:gridCol w:w="1569"/>
      </w:tblGrid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66ED9" w:rsidRPr="00B65EFC" w:rsidTr="00A53725">
        <w:tc>
          <w:tcPr>
            <w:tcW w:w="9596" w:type="dxa"/>
            <w:gridSpan w:val="4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У поставщика:</w:t>
            </w: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1. Отражается выручка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2. Отражается НДС из выручки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3. Отражается покупная стоимость товара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4. Отражается безвозмездная передача товара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Отражается НДС от безвозмездной передачи товара 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6. Поступила оплата от покупателя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9596" w:type="dxa"/>
            <w:gridSpan w:val="4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У покупателя:</w:t>
            </w: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1. Оприходован товар от поставщика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2. Отражается НДС поставщика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3. Оприходована дополнительная единица товара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4. Отражается НДС по дополнительной единице товара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5. Оплачено поставщику с расчетного счета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ED9" w:rsidRPr="00B65EFC" w:rsidTr="00A53725">
        <w:tc>
          <w:tcPr>
            <w:tcW w:w="5868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EFC">
              <w:rPr>
                <w:rFonts w:ascii="Times New Roman" w:eastAsia="Calibri" w:hAnsi="Times New Roman" w:cs="Times New Roman"/>
                <w:sz w:val="24"/>
                <w:szCs w:val="24"/>
              </w:rPr>
              <w:t>6. НДС принят к вычету</w:t>
            </w:r>
          </w:p>
        </w:tc>
        <w:tc>
          <w:tcPr>
            <w:tcW w:w="1080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66ED9" w:rsidRPr="00B65EFC" w:rsidRDefault="00566ED9" w:rsidP="00A537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9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В магазин поступили товары от молокозавода на сумму 1000000. Молоко разлито в пакты емкостью 0,5 литра. НДС 10%. Молокозавод предоставил скидку на возможные потери в связи с течью молока из пакета – 0,26%. Товар оприходован с торговой надбавкой 20%.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10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В магазин от мясокомбината поступил паштет из </w:t>
      </w:r>
      <w:proofErr w:type="spellStart"/>
      <w:r w:rsidRPr="00B65EFC">
        <w:rPr>
          <w:rFonts w:ascii="Times New Roman" w:hAnsi="Times New Roman" w:cs="Times New Roman"/>
          <w:sz w:val="24"/>
          <w:szCs w:val="24"/>
        </w:rPr>
        <w:t>суппродуктов</w:t>
      </w:r>
      <w:proofErr w:type="spellEnd"/>
      <w:r w:rsidRPr="00B65E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5EFC">
        <w:rPr>
          <w:rFonts w:ascii="Times New Roman" w:hAnsi="Times New Roman" w:cs="Times New Roman"/>
          <w:sz w:val="24"/>
          <w:szCs w:val="24"/>
        </w:rPr>
        <w:t>упакованных</w:t>
      </w:r>
      <w:proofErr w:type="gramEnd"/>
      <w:r w:rsidRPr="00B65EFC">
        <w:rPr>
          <w:rFonts w:ascii="Times New Roman" w:hAnsi="Times New Roman" w:cs="Times New Roman"/>
          <w:sz w:val="24"/>
          <w:szCs w:val="24"/>
        </w:rPr>
        <w:t xml:space="preserve"> в пленку с металлическими зажимами. Покупная цена 15000 рублей за килограмм  без НДС, НДС 20%. Мясокомбинат предоставил скидку на возможные потери при подготовке паштета к реализации, скидка – 0,4%товары оприходованы с торговой надбавкой 20%. Общий вес паштета 100 кг.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11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На складе организации числится 1000 единиц товара. Отпускная цена поставщика 5000р. за единицу, торговая надбавка 30%, НДС 10%. Новая цена на аналогичный товар 6000 </w:t>
      </w:r>
      <w:proofErr w:type="spellStart"/>
      <w:proofErr w:type="gramStart"/>
      <w:r w:rsidRPr="00B65EF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65EFC">
        <w:rPr>
          <w:rFonts w:ascii="Times New Roman" w:hAnsi="Times New Roman" w:cs="Times New Roman"/>
          <w:sz w:val="24"/>
          <w:szCs w:val="24"/>
        </w:rPr>
        <w:t xml:space="preserve"> за  единицу. Надбавка и НДС те же.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12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В организацию поступили товары и тара от поставщиков. Стоимость товара по оптовым ценам без НДС 20000000, стоимость возвратной тары 600000, НДС по товарам 20%. Поступившие товары оприходовали с торговой надбавкой 40%. Требуется сформировать на счетах бухгалтерского учет розничную цену товара.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13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Сформировать розничную цену на шоколад в буфете учреждения образования </w:t>
      </w:r>
      <w:proofErr w:type="gramStart"/>
      <w:r w:rsidRPr="00B65E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65EFC">
        <w:rPr>
          <w:rFonts w:ascii="Times New Roman" w:hAnsi="Times New Roman" w:cs="Times New Roman"/>
          <w:sz w:val="24"/>
          <w:szCs w:val="24"/>
        </w:rPr>
        <w:t>. Минска, если в буфет школьной столовой поступил шоколад "Коммунарка молочный" (расфасовка 1/50 г) по отпускной цене поставщика 3666 руб. без НДС. НДС 20%. Шоколад "Коммунарка молочный" реализуется в буфете школьной столовой как покупной товар. Торговая надбавка буфета установлена в размере 35%.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14</w:t>
      </w:r>
    </w:p>
    <w:p w:rsidR="00566ED9" w:rsidRPr="00B65EFC" w:rsidRDefault="00566ED9" w:rsidP="00566E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Организация оптовой торговли произвела 100 % предоплату за товар, упакованный в ящики. ПО ТТН, товар получен в 15 ящиках. Общая стоимость товара, поступившего от поставщика с НДС 6450000. Ящики являются возвратной тарой. Их стоимость выделена отдельной строкой в ТТН – 25000 рублей за единицу (цена с НДС).</w:t>
      </w:r>
    </w:p>
    <w:p w:rsidR="00566ED9" w:rsidRPr="00B65EFC" w:rsidRDefault="00566ED9" w:rsidP="00566E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Согласно условиям договора, оптовая организация обязана возвратить ящики поставщику в течени</w:t>
      </w:r>
      <w:proofErr w:type="gramStart"/>
      <w:r w:rsidRPr="00B65E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5EFC">
        <w:rPr>
          <w:rFonts w:ascii="Times New Roman" w:hAnsi="Times New Roman" w:cs="Times New Roman"/>
          <w:sz w:val="24"/>
          <w:szCs w:val="24"/>
        </w:rPr>
        <w:t xml:space="preserve"> 1 месяца с момента ее получения.</w:t>
      </w:r>
    </w:p>
    <w:p w:rsidR="00566ED9" w:rsidRPr="00B65EFC" w:rsidRDefault="00566ED9" w:rsidP="00566E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Товар реализован розничной торговой организации на сумму 7125000 рублей.</w:t>
      </w:r>
    </w:p>
    <w:p w:rsidR="00566ED9" w:rsidRPr="00B65EFC" w:rsidRDefault="00566ED9" w:rsidP="00566E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Согласно условиям договора купли-продажи, розничная торговая организация  оплачивает стоимость товара и тары в течени</w:t>
      </w:r>
      <w:proofErr w:type="gramStart"/>
      <w:r w:rsidRPr="00B65E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5EFC">
        <w:rPr>
          <w:rFonts w:ascii="Times New Roman" w:hAnsi="Times New Roman" w:cs="Times New Roman"/>
          <w:sz w:val="24"/>
          <w:szCs w:val="24"/>
        </w:rPr>
        <w:t xml:space="preserve"> 5 рабочих дней соня поставки и обязуется возвратить тару оптовой организации в течении 15 дней с момента получения. Выручка определяется по отгрузке.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15</w:t>
      </w:r>
    </w:p>
    <w:p w:rsidR="00566ED9" w:rsidRPr="00B65EFC" w:rsidRDefault="00566ED9" w:rsidP="00566ED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ED9" w:rsidRPr="00B65EFC" w:rsidRDefault="00566ED9" w:rsidP="00566ED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65EFC">
        <w:rPr>
          <w:rFonts w:ascii="Times New Roman" w:hAnsi="Times New Roman"/>
          <w:sz w:val="24"/>
          <w:szCs w:val="24"/>
        </w:rPr>
        <w:t xml:space="preserve">От поставщика получен товар: покупная цена 850000, НДС 20%, торговая организация при формировании розничной цены использует торговую надбавку в размере 250000 </w:t>
      </w:r>
      <w:proofErr w:type="spellStart"/>
      <w:proofErr w:type="gramStart"/>
      <w:r w:rsidRPr="00B65EF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B65EFC">
        <w:rPr>
          <w:rFonts w:ascii="Times New Roman" w:hAnsi="Times New Roman"/>
          <w:sz w:val="24"/>
          <w:szCs w:val="24"/>
        </w:rPr>
        <w:t xml:space="preserve"> и НДС в поставке 20%. В результате истечения сроков реализации товар уценивается путём полной отмены торговой надбавки и при второй уценке путём уменьшения цены товара на 150000 р. Потери от второй уценки делятся поровну между торговой организацией и поставщиком. 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16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Организация ввезла из Италии 5 комплектов мебели по цене 1780 евро каждый и поместила их под таможенную процедуру таможенного склада сроком на 1,5 года. Требуется отразить в бухгалтерском учете формирование стоимости импортных товаров, если:</w:t>
      </w:r>
    </w:p>
    <w:p w:rsidR="00566ED9" w:rsidRPr="00B65EFC" w:rsidRDefault="00566ED9" w:rsidP="00566E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Транспортные расходы составили 1400 евро.</w:t>
      </w:r>
    </w:p>
    <w:p w:rsidR="00566ED9" w:rsidRPr="00B65EFC" w:rsidRDefault="00566ED9" w:rsidP="00566E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Сбор за таможенное оформление при помещении товаров под таможенную процедуру таможенного склада – 35 евро.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     В соответствии с  учетной политикой расходы, связанные с приобретением товаров, организация относит на увеличение их стоимости. В аналитическом учете к счету 41/1 «Товары на складах» открыты субсчета второго порядка: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- 41/1.1 – «склад организации»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- 41/1.2 – «таможенный склад»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     Курс евро на дату таможенного оформления и дату принятия на учет – 11 030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17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FC">
        <w:rPr>
          <w:rFonts w:ascii="Times New Roman" w:hAnsi="Times New Roman" w:cs="Times New Roman"/>
          <w:sz w:val="24"/>
          <w:szCs w:val="24"/>
        </w:rPr>
        <w:t xml:space="preserve">Организация оприходовала на склад комплект мебели и реализовала его покупателям в сумме 41 473 020 руб., в том числе НДС – 20 %. Услуги по хранению товара на таможенном складе  составляют 1 404 000 руб., в том числе НДС – 20 %. </w:t>
      </w:r>
      <w:r w:rsidRPr="00B65EFC">
        <w:rPr>
          <w:rFonts w:ascii="Times New Roman" w:hAnsi="Times New Roman" w:cs="Times New Roman"/>
          <w:sz w:val="24"/>
          <w:szCs w:val="24"/>
        </w:rPr>
        <w:lastRenderedPageBreak/>
        <w:t xml:space="preserve">Требуется отразить бухгалтерские записи по реализации комплекта мебели и отразить финансовой результат независимо от остальных операций. </w:t>
      </w:r>
      <w:proofErr w:type="gramEnd"/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18</w:t>
      </w:r>
    </w:p>
    <w:p w:rsidR="00566ED9" w:rsidRPr="00B65EFC" w:rsidRDefault="00566ED9" w:rsidP="00566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Предположим, что 31 января 2013 г. выполняются условия признания нематериального </w:t>
      </w:r>
      <w:proofErr w:type="gramStart"/>
      <w:r w:rsidRPr="00B65EFC">
        <w:rPr>
          <w:rFonts w:ascii="Times New Roman" w:hAnsi="Times New Roman" w:cs="Times New Roman"/>
          <w:sz w:val="24"/>
          <w:szCs w:val="24"/>
        </w:rPr>
        <w:t>актива</w:t>
      </w:r>
      <w:proofErr w:type="gramEnd"/>
      <w:r w:rsidRPr="00B65EFC">
        <w:rPr>
          <w:rFonts w:ascii="Times New Roman" w:hAnsi="Times New Roman" w:cs="Times New Roman"/>
          <w:sz w:val="24"/>
          <w:szCs w:val="24"/>
        </w:rPr>
        <w:t xml:space="preserve"> в качестве предназначенного для реализации. Первоначальная стоимость данного нематериального актива составила 2 000 000 руб., накопленная амортизация - 1 400 000 руб.; остаточная стоимость - 600 000 руб. (2 000 000 - 1 400 000). С покупателем заключен договор уступки  по цене реализации 400 000 руб. (принимается как текущая рыночная стоимость). Организация не предполагает расходов на реализацию данного нематериального актива. После заключения договора уступки </w:t>
      </w:r>
      <w:proofErr w:type="gramStart"/>
      <w:r w:rsidRPr="00B65EFC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B65EFC">
        <w:rPr>
          <w:rFonts w:ascii="Times New Roman" w:hAnsi="Times New Roman" w:cs="Times New Roman"/>
          <w:sz w:val="24"/>
          <w:szCs w:val="24"/>
        </w:rPr>
        <w:t xml:space="preserve"> нематериального актива не используется в деятельности организации. 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19</w:t>
      </w:r>
    </w:p>
    <w:p w:rsidR="00566ED9" w:rsidRPr="00B65EFC" w:rsidRDefault="00566ED9" w:rsidP="00566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В 2013 г. предприятие намерено приобрести для собственных нужд программу «1С: Бухгалтерия» стоимостью 16 800 000 руб., в т.ч. НДС 20%, а также провести ее доработку после установки на офисных компьютерах. Стоимость доработки составляет 10 800 000 руб., в т.ч. НДС 20%.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20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6ED9" w:rsidRPr="00B65EFC" w:rsidRDefault="00566ED9" w:rsidP="00566E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По договору с условием 100-процентной предоплаты торговая организация приобрела кондиционер стоимостью 2903000 руб., в том числе НДС по ставке 20%. Стоимость работ по монтажу кондиционера </w:t>
      </w:r>
      <w:proofErr w:type="gramStart"/>
      <w:r w:rsidRPr="00B65EFC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B65EFC">
        <w:rPr>
          <w:rFonts w:ascii="Times New Roman" w:hAnsi="Times New Roman" w:cs="Times New Roman"/>
          <w:sz w:val="24"/>
          <w:szCs w:val="24"/>
        </w:rPr>
        <w:t xml:space="preserve"> составила 1236000 руб., в том числе НДС по ставке 20%. </w:t>
      </w:r>
    </w:p>
    <w:p w:rsidR="00566ED9" w:rsidRPr="00B65EFC" w:rsidRDefault="00566ED9" w:rsidP="00566E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В соответствии с протоколом комиссии организации по проведению амортизационной политики кондиционер был введен в эксплуатацию в качестве объекта основных средств, используемого в предпринимательской деятельности. Амортизация кондиционера начисляется линейным способом исходя из нормативного срока службы 9 лет.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21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6ED9" w:rsidRPr="00B65EFC" w:rsidRDefault="00566ED9" w:rsidP="00566E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Организация использует автомобиль в производственных целях. В отчетном месяце согласно путевым листам пробег служебного автомобиля составил 2500 км, при этом был использован бензин А-95 в количестве 210 л по цене 7500 руб. (без учета НДС) за 1 л. </w:t>
      </w:r>
    </w:p>
    <w:p w:rsidR="00566ED9" w:rsidRPr="00B65EFC" w:rsidRDefault="00566ED9" w:rsidP="00566E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Установленная норма расхода топлива на арендованный служебный автомобиль составляет 8 л на 100 км. </w:t>
      </w:r>
    </w:p>
    <w:p w:rsidR="00566ED9" w:rsidRPr="00B65EFC" w:rsidRDefault="00566ED9" w:rsidP="00566E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В соответствии с приказом стоимость бензина свыше установленной нормы удержана из заработной платы водителя.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22</w:t>
      </w: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ED9" w:rsidRPr="00B65EFC" w:rsidRDefault="00566ED9" w:rsidP="00566E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Зарегистрированной организацией в счет вклада в уставный фонд получено исключительное право на базу данных. Стоимость исключительного права на базу данных, подтвержденная экспертной оценкой, составила 1200000 руб. Сумма расходов по установке базы данных составила 600000 руб., в т.ч. НДС 100000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lastRenderedPageBreak/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23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>Первоначальная стоимость нематериального актива  составляет 350 000 000 руб., накопленная амортизация - 90 000 000 руб. Переоценка данного нематериального актива  ранее не производилась. Текущая рыночная стоимость нематериального актива  за вычетом расходов на реализацию - 240 000 000 руб.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FC">
        <w:rPr>
          <w:rFonts w:ascii="Times New Roman" w:hAnsi="Times New Roman" w:cs="Times New Roman"/>
          <w:sz w:val="24"/>
          <w:szCs w:val="24"/>
        </w:rPr>
        <w:t>Ожидаемые будущие денежные потоки за последующие 3 года - по 100 000 000 руб. в год.</w:t>
      </w:r>
      <w:proofErr w:type="gramEnd"/>
      <w:r w:rsidRPr="00B65EFC">
        <w:rPr>
          <w:rFonts w:ascii="Times New Roman" w:hAnsi="Times New Roman" w:cs="Times New Roman"/>
          <w:sz w:val="24"/>
          <w:szCs w:val="24"/>
        </w:rPr>
        <w:t xml:space="preserve"> Процентная ставка, используемая в расчете  - 20 %.</w:t>
      </w: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24</w:t>
      </w:r>
    </w:p>
    <w:p w:rsidR="00566ED9" w:rsidRPr="00B65EFC" w:rsidRDefault="00566ED9" w:rsidP="00566E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EFC">
        <w:rPr>
          <w:rFonts w:ascii="Times New Roman" w:hAnsi="Times New Roman" w:cs="Times New Roman"/>
          <w:bCs/>
          <w:sz w:val="24"/>
          <w:szCs w:val="24"/>
        </w:rPr>
        <w:t>В составе нематериальных активов организации учитывается исключительное право на компьютерную программу по первоначальной стоимости 2250000 руб. С третьего года ее действия организация ввела в действие новый модуль, затраты на разработку которого составили 150000 руб. Амортизация по нематериальным активам согласно учетной политике организации начисляется линейным способом.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2"/>
        <w:ind w:firstLine="709"/>
        <w:jc w:val="both"/>
        <w:rPr>
          <w:rFonts w:ascii="Times New Roman" w:hAnsi="Times New Roman"/>
          <w:caps/>
          <w:smallCaps/>
          <w:sz w:val="24"/>
          <w:szCs w:val="24"/>
        </w:rPr>
      </w:pPr>
      <w:proofErr w:type="gramStart"/>
      <w:r w:rsidRPr="00B65EFC">
        <w:rPr>
          <w:rFonts w:ascii="Times New Roman" w:hAnsi="Times New Roman"/>
          <w:caps/>
          <w:smallCaps/>
          <w:sz w:val="24"/>
          <w:szCs w:val="24"/>
        </w:rPr>
        <w:t>З</w:t>
      </w:r>
      <w:proofErr w:type="gramEnd"/>
      <w:r w:rsidRPr="00B65EFC">
        <w:rPr>
          <w:rFonts w:ascii="Times New Roman" w:hAnsi="Times New Roman"/>
          <w:caps/>
          <w:smallCaps/>
          <w:sz w:val="24"/>
          <w:szCs w:val="24"/>
        </w:rPr>
        <w:t xml:space="preserve"> А Д А Ч А № 25</w:t>
      </w:r>
    </w:p>
    <w:p w:rsidR="00566ED9" w:rsidRPr="00B65EFC" w:rsidRDefault="00566ED9" w:rsidP="00566ED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D9" w:rsidRPr="00B65EFC" w:rsidRDefault="00566ED9" w:rsidP="00566E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C">
        <w:rPr>
          <w:rFonts w:ascii="Times New Roman" w:hAnsi="Times New Roman" w:cs="Times New Roman"/>
          <w:sz w:val="24"/>
          <w:szCs w:val="24"/>
        </w:rPr>
        <w:t xml:space="preserve">По авторскому договору организация приобрела права на компьютерную программу на срок более одного года. Договорная стоимость приобретаемых прав составила 500000 руб. НДС 20 %. Организация-разработчик оказывает ежемесячные услуги по ее обслуживанию.  Стоимость данных услуг в год составляет 604800 руб., в т.ч. НДС 20 %. </w:t>
      </w:r>
    </w:p>
    <w:p w:rsidR="00A07C21" w:rsidRDefault="00A07C21"/>
    <w:sectPr w:rsidR="00A07C21" w:rsidSect="00A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428"/>
    <w:multiLevelType w:val="hybridMultilevel"/>
    <w:tmpl w:val="6ADCD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47AB0"/>
    <w:multiLevelType w:val="hybridMultilevel"/>
    <w:tmpl w:val="D30645A0"/>
    <w:lvl w:ilvl="0" w:tplc="4F501D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F3743"/>
    <w:multiLevelType w:val="hybridMultilevel"/>
    <w:tmpl w:val="1988E1D4"/>
    <w:lvl w:ilvl="0" w:tplc="E5A6C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D9"/>
    <w:rsid w:val="00566ED9"/>
    <w:rsid w:val="00A0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D9"/>
  </w:style>
  <w:style w:type="paragraph" w:styleId="2">
    <w:name w:val="heading 2"/>
    <w:basedOn w:val="a"/>
    <w:next w:val="a"/>
    <w:link w:val="20"/>
    <w:qFormat/>
    <w:rsid w:val="00566ED9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ED9"/>
    <w:rPr>
      <w:rFonts w:ascii="Bookman Old Style" w:eastAsia="Times New Roman" w:hAnsi="Bookman Old Style" w:cs="Times New Roman"/>
      <w:b/>
      <w:sz w:val="52"/>
      <w:szCs w:val="20"/>
      <w:lang w:eastAsia="ru-RU"/>
    </w:rPr>
  </w:style>
  <w:style w:type="paragraph" w:styleId="a3">
    <w:name w:val="List Paragraph"/>
    <w:basedOn w:val="a"/>
    <w:uiPriority w:val="99"/>
    <w:qFormat/>
    <w:rsid w:val="00566ED9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566E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6ED9"/>
  </w:style>
  <w:style w:type="paragraph" w:customStyle="1" w:styleId="ConsPlusNonformat">
    <w:name w:val="ConsPlusNonformat"/>
    <w:uiPriority w:val="99"/>
    <w:rsid w:val="00566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6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566ED9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566ED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6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566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2034</Words>
  <Characters>11597</Characters>
  <Application>Microsoft Office Word</Application>
  <DocSecurity>0</DocSecurity>
  <Lines>96</Lines>
  <Paragraphs>27</Paragraphs>
  <ScaleCrop>false</ScaleCrop>
  <Company>Grizli777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2014-09-12T07:22:00Z</dcterms:created>
  <dcterms:modified xsi:type="dcterms:W3CDTF">2014-09-12T07:22:00Z</dcterms:modified>
</cp:coreProperties>
</file>