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42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718"/>
        <w:gridCol w:w="3697"/>
        <w:gridCol w:w="1137"/>
        <w:gridCol w:w="995"/>
        <w:gridCol w:w="1137"/>
        <w:gridCol w:w="820"/>
      </w:tblGrid>
      <w:tr w:rsidR="00FE273B" w:rsidRPr="00FE273B" w:rsidTr="00892D86">
        <w:trPr>
          <w:trHeight w:val="437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E27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</w:tr>
      <w:tr w:rsidR="00FE273B" w:rsidRPr="00FE273B" w:rsidTr="00892D86">
        <w:trPr>
          <w:cantSplit/>
          <w:trHeight w:val="736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лекций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</w:t>
            </w:r>
          </w:p>
        </w:tc>
      </w:tr>
      <w:tr w:rsidR="00FE273B" w:rsidRPr="00FE273B" w:rsidTr="00892D86">
        <w:trPr>
          <w:trHeight w:val="35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Особенности учета капитальных вложений</w:t>
            </w:r>
          </w:p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0" w:firstLine="176"/>
            </w:pPr>
            <w:r w:rsidRPr="00FE273B">
              <w:t xml:space="preserve">Цели  и содержание дисциплины. Роль, значение и основные принципы организации бухгалтерского учета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0" w:firstLine="176"/>
            </w:pPr>
            <w:r w:rsidRPr="00FE273B">
              <w:t>Капитальные вложения в  долгосрочные активы  и их оценка.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0" w:firstLine="176"/>
            </w:pPr>
            <w:r w:rsidRPr="00FE273B">
              <w:t>Учет затрат на капитальные вложения при хозяйственном способе ведения работ.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0" w:firstLine="176"/>
            </w:pPr>
            <w:r w:rsidRPr="00FE273B">
              <w:t>Учет затрат на капитальные вложения при подрядном  способе ведения работ.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0" w:firstLine="176"/>
              <w:rPr>
                <w:bCs/>
              </w:rPr>
            </w:pPr>
            <w:r w:rsidRPr="00FE273B">
              <w:t xml:space="preserve">Учет затрат на капитальные вложения при реконструкции и модернизации основных средств.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E273B" w:rsidRPr="00FE273B" w:rsidTr="00892D86">
        <w:trPr>
          <w:trHeight w:val="216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pStyle w:val="a3"/>
              <w:ind w:left="0" w:firstLine="0"/>
            </w:pPr>
            <w:r w:rsidRPr="00FE273B">
              <w:t>Особенности учета в торговле.</w:t>
            </w:r>
          </w:p>
          <w:p w:rsidR="00FE273B" w:rsidRPr="00FE273B" w:rsidRDefault="00FE273B" w:rsidP="00FE2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ind w:left="0" w:firstLine="176"/>
            </w:pPr>
            <w:r w:rsidRPr="00FE273B">
              <w:t xml:space="preserve">Учет издержек обращения торговых организаций.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ind w:left="0" w:firstLine="176"/>
            </w:pPr>
            <w:r w:rsidRPr="00FE273B">
              <w:t xml:space="preserve">Учет движения товаров в торговле.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ind w:left="0" w:firstLine="176"/>
            </w:pPr>
            <w:r w:rsidRPr="00FE273B">
              <w:t>Учет торговой наценки. Учет отгрузки и реализации товаров.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ind w:left="0" w:firstLine="176"/>
            </w:pPr>
            <w:r w:rsidRPr="00FE273B">
              <w:t>Отражение в учете инвентаризации товаров.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73B" w:rsidRPr="00FE273B" w:rsidRDefault="00FE273B" w:rsidP="00FE2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73B">
        <w:rPr>
          <w:rFonts w:ascii="Times New Roman" w:hAnsi="Times New Roman" w:cs="Times New Roman"/>
          <w:b/>
          <w:bCs/>
          <w:sz w:val="24"/>
          <w:szCs w:val="24"/>
        </w:rPr>
        <w:t>Тематический план реализации учебной программы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686"/>
        <w:gridCol w:w="1134"/>
        <w:gridCol w:w="992"/>
        <w:gridCol w:w="1134"/>
        <w:gridCol w:w="851"/>
      </w:tblGrid>
      <w:tr w:rsidR="00FE273B" w:rsidRPr="00FE273B" w:rsidTr="00892D86">
        <w:tc>
          <w:tcPr>
            <w:tcW w:w="709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E273B" w:rsidRPr="00FE273B" w:rsidRDefault="00FE273B" w:rsidP="00FE273B">
            <w:pPr>
              <w:pStyle w:val="a3"/>
              <w:ind w:left="0" w:firstLine="0"/>
            </w:pPr>
            <w:r w:rsidRPr="00FE273B">
              <w:t>Особенности учета в сельском хозяйстве</w:t>
            </w:r>
          </w:p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E273B" w:rsidRPr="00FE273B" w:rsidRDefault="00FE273B" w:rsidP="00FE273B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175"/>
            </w:pPr>
            <w:r w:rsidRPr="00FE273B">
              <w:rPr>
                <w:spacing w:val="-2"/>
              </w:rPr>
              <w:t xml:space="preserve">Учет в животноводстве. </w:t>
            </w:r>
            <w:r w:rsidRPr="00FE273B">
              <w:t xml:space="preserve">Учет затрат по формированию основного стада.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175"/>
            </w:pPr>
            <w:r w:rsidRPr="00FE273B">
              <w:t xml:space="preserve">Учет поступления в организацию молодняка животных.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175"/>
            </w:pPr>
            <w:r w:rsidRPr="00FE273B">
              <w:t xml:space="preserve">Учет затрат и определение себестоимости продукции животноводства. 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175"/>
            </w:pPr>
            <w:r w:rsidRPr="00FE273B">
              <w:t xml:space="preserve">Отражение в учете выбытия животных.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175"/>
            </w:pPr>
            <w:r w:rsidRPr="00FE273B">
              <w:t>Отражение в учете реализации продукции  животноводства.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175"/>
            </w:pPr>
            <w:r w:rsidRPr="00FE273B">
              <w:t xml:space="preserve">Учет затрат в растениеводстве. Учет затрат и определение себестоимости продукции растениеводства.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175"/>
              <w:rPr>
                <w:spacing w:val="-2"/>
              </w:rPr>
            </w:pPr>
            <w:r w:rsidRPr="00FE273B">
              <w:t xml:space="preserve">Отражение в учете </w:t>
            </w:r>
            <w:r w:rsidRPr="00FE273B">
              <w:lastRenderedPageBreak/>
              <w:t>реализации продукции растениеводства.</w:t>
            </w:r>
          </w:p>
        </w:tc>
        <w:tc>
          <w:tcPr>
            <w:tcW w:w="1134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273B" w:rsidRPr="00FE273B" w:rsidTr="00892D86">
        <w:tc>
          <w:tcPr>
            <w:tcW w:w="709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FE273B" w:rsidRPr="00FE273B" w:rsidRDefault="00FE273B" w:rsidP="00FE273B">
            <w:pPr>
              <w:pStyle w:val="a3"/>
              <w:ind w:left="0" w:firstLine="0"/>
            </w:pPr>
            <w:r w:rsidRPr="00FE273B">
              <w:t>Особенности учета в транспортных организациях</w:t>
            </w:r>
          </w:p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E273B" w:rsidRPr="00FE273B" w:rsidRDefault="00FE273B" w:rsidP="00FE273B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175"/>
            </w:pPr>
            <w:r w:rsidRPr="00FE273B">
              <w:t xml:space="preserve">Учет транспортных средств.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175"/>
            </w:pPr>
            <w:r w:rsidRPr="00FE273B">
              <w:t xml:space="preserve">Начисление амортизации транспортных средств.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175"/>
            </w:pPr>
            <w:r w:rsidRPr="00FE273B">
              <w:t xml:space="preserve">Учет операций по выбытию основных средств.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175"/>
            </w:pPr>
            <w:r w:rsidRPr="00FE273B">
              <w:t xml:space="preserve">Учет горюче-смазочных материалов.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175"/>
            </w:pPr>
            <w:r w:rsidRPr="00FE273B">
              <w:t xml:space="preserve">Учет запасных  частей. Учет автомобильных шин.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175"/>
            </w:pPr>
            <w:r w:rsidRPr="00FE273B">
              <w:t xml:space="preserve">Учет ремонта транспортных средств.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175"/>
            </w:pPr>
            <w:r w:rsidRPr="00FE273B">
              <w:t>Отражение реализации выполненных транспортных услуг.</w:t>
            </w:r>
          </w:p>
        </w:tc>
        <w:tc>
          <w:tcPr>
            <w:tcW w:w="1134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273B" w:rsidRPr="00FE273B" w:rsidTr="00892D86">
        <w:tc>
          <w:tcPr>
            <w:tcW w:w="709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E273B" w:rsidRPr="00FE273B" w:rsidRDefault="00FE273B" w:rsidP="00FE273B">
            <w:pPr>
              <w:pStyle w:val="a3"/>
              <w:ind w:left="0" w:firstLine="0"/>
            </w:pPr>
            <w:r w:rsidRPr="00FE273B">
              <w:t>Особенности учета в строительстве</w:t>
            </w:r>
          </w:p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E273B" w:rsidRPr="00FE273B" w:rsidRDefault="00FE273B" w:rsidP="00FE273B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0" w:firstLine="175"/>
            </w:pPr>
            <w:r w:rsidRPr="00FE273B">
              <w:t xml:space="preserve">Особенности учета материалов в строительных организациях.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0" w:firstLine="175"/>
            </w:pPr>
            <w:r w:rsidRPr="00FE273B">
              <w:t xml:space="preserve">Учет затрат на производство строительно-монтажных работ.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0" w:firstLine="175"/>
            </w:pPr>
            <w:r w:rsidRPr="00FE273B">
              <w:t xml:space="preserve">Учет затрат по эксплуатации строительных  машин и механизмов.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0" w:firstLine="175"/>
            </w:pPr>
            <w:r w:rsidRPr="00FE273B">
              <w:t>Учет и распределение расходов по устранению брака.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0" w:firstLine="175"/>
            </w:pPr>
            <w:r w:rsidRPr="00FE273B">
              <w:t>Учет и распределение накладных расходов.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0" w:firstLine="175"/>
            </w:pPr>
            <w:r w:rsidRPr="00FE273B">
              <w:t>Учет и списание расходов по управлению строительной организацией.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0" w:firstLine="175"/>
            </w:pPr>
            <w:r w:rsidRPr="00FE273B">
              <w:t xml:space="preserve">Формирование и использование резерва  предстоящих расходов. </w:t>
            </w:r>
          </w:p>
          <w:p w:rsidR="00FE273B" w:rsidRPr="00FE273B" w:rsidRDefault="00FE273B" w:rsidP="00FE273B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0" w:firstLine="175"/>
            </w:pPr>
            <w:r w:rsidRPr="00FE273B">
              <w:t>Учет финансовых результатов от сдачи (реализации) строительно-монтажных работ.</w:t>
            </w:r>
          </w:p>
        </w:tc>
        <w:tc>
          <w:tcPr>
            <w:tcW w:w="1134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273B" w:rsidRPr="00FE273B" w:rsidTr="00892D86">
        <w:tc>
          <w:tcPr>
            <w:tcW w:w="709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Особенности учета внешнеэкономической деятельности</w:t>
            </w:r>
          </w:p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E273B" w:rsidRPr="00FE273B" w:rsidRDefault="00FE273B" w:rsidP="00FE273B">
            <w:pPr>
              <w:numPr>
                <w:ilvl w:val="0"/>
                <w:numId w:val="6"/>
              </w:numPr>
              <w:tabs>
                <w:tab w:val="left" w:pos="317"/>
                <w:tab w:val="left" w:pos="410"/>
              </w:tabs>
              <w:spacing w:after="0" w:line="240" w:lineRule="auto"/>
              <w:ind w:left="-11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 xml:space="preserve">Учет активов и обязательств в иностранной валюте.  Порядок отражения в учете </w:t>
            </w:r>
            <w:proofErr w:type="gramStart"/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курсовых</w:t>
            </w:r>
            <w:proofErr w:type="gramEnd"/>
            <w:r w:rsidRPr="00FE273B">
              <w:rPr>
                <w:rFonts w:ascii="Times New Roman" w:hAnsi="Times New Roman" w:cs="Times New Roman"/>
                <w:sz w:val="24"/>
                <w:szCs w:val="24"/>
              </w:rPr>
              <w:t xml:space="preserve"> разниц. </w:t>
            </w:r>
          </w:p>
          <w:p w:rsidR="00FE273B" w:rsidRPr="00FE273B" w:rsidRDefault="00FE273B" w:rsidP="00FE273B">
            <w:pPr>
              <w:numPr>
                <w:ilvl w:val="0"/>
                <w:numId w:val="6"/>
              </w:numPr>
              <w:tabs>
                <w:tab w:val="left" w:pos="317"/>
                <w:tab w:val="left" w:pos="410"/>
              </w:tabs>
              <w:spacing w:after="0" w:line="240" w:lineRule="auto"/>
              <w:ind w:left="-11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в учете операций по импорту имущества. </w:t>
            </w:r>
          </w:p>
          <w:p w:rsidR="00FE273B" w:rsidRPr="00FE273B" w:rsidRDefault="00FE273B" w:rsidP="00FE273B">
            <w:pPr>
              <w:numPr>
                <w:ilvl w:val="0"/>
                <w:numId w:val="6"/>
              </w:numPr>
              <w:tabs>
                <w:tab w:val="left" w:pos="317"/>
                <w:tab w:val="left" w:pos="410"/>
              </w:tabs>
              <w:spacing w:after="0" w:line="240" w:lineRule="auto"/>
              <w:ind w:left="-11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Учет операций по продаже иностранной валюты на внутреннем валютном рынке. Учет операций по покупке иностранной валюты на внутреннем валютном рынке.</w:t>
            </w:r>
          </w:p>
        </w:tc>
        <w:tc>
          <w:tcPr>
            <w:tcW w:w="1134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273B" w:rsidRPr="00FE273B" w:rsidTr="00892D86">
        <w:tc>
          <w:tcPr>
            <w:tcW w:w="6096" w:type="dxa"/>
            <w:gridSpan w:val="3"/>
            <w:shd w:val="clear" w:color="auto" w:fill="auto"/>
          </w:tcPr>
          <w:p w:rsidR="00FE273B" w:rsidRPr="00FE273B" w:rsidRDefault="00FE273B" w:rsidP="00FE273B">
            <w:pPr>
              <w:tabs>
                <w:tab w:val="left" w:pos="365"/>
              </w:tabs>
              <w:spacing w:after="0" w:line="240" w:lineRule="auto"/>
              <w:ind w:left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E273B" w:rsidRPr="00FE273B" w:rsidRDefault="00FE273B" w:rsidP="00FE2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3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D11337" w:rsidRPr="00FE273B" w:rsidRDefault="00D11337" w:rsidP="00FE2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1337" w:rsidRPr="00FE27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65B" w:rsidRDefault="0047165B" w:rsidP="00396E8E">
      <w:pPr>
        <w:spacing w:after="0" w:line="240" w:lineRule="auto"/>
      </w:pPr>
      <w:r>
        <w:separator/>
      </w:r>
    </w:p>
  </w:endnote>
  <w:endnote w:type="continuationSeparator" w:id="0">
    <w:p w:rsidR="0047165B" w:rsidRDefault="0047165B" w:rsidP="0039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8E" w:rsidRDefault="00396E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8E" w:rsidRDefault="00396E8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8E" w:rsidRDefault="00396E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65B" w:rsidRDefault="0047165B" w:rsidP="00396E8E">
      <w:pPr>
        <w:spacing w:after="0" w:line="240" w:lineRule="auto"/>
      </w:pPr>
      <w:r>
        <w:separator/>
      </w:r>
    </w:p>
  </w:footnote>
  <w:footnote w:type="continuationSeparator" w:id="0">
    <w:p w:rsidR="0047165B" w:rsidRDefault="0047165B" w:rsidP="0039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8E" w:rsidRDefault="00396E8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67907" o:spid="_x0000_s2050" type="#_x0000_t136" style="position:absolute;margin-left:0;margin-top:0;width:588.75pt;height:70.65pt;rotation:315;z-index:-251655168;mso-position-horizontal:center;mso-position-horizontal-relative:margin;mso-position-vertical:center;mso-position-vertical-relative:margin" o:allowincell="f" fillcolor="#a5a5a5 [2092]" stroked="f">
          <v:textpath style="font-family:&quot;Calibri&quot;;font-size:1pt" string="Электронная библиотека БГЭУ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8E" w:rsidRDefault="00396E8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67908" o:spid="_x0000_s2051" type="#_x0000_t136" style="position:absolute;margin-left:0;margin-top:0;width:588.75pt;height:70.65pt;rotation:315;z-index:-251653120;mso-position-horizontal:center;mso-position-horizontal-relative:margin;mso-position-vertical:center;mso-position-vertical-relative:margin" o:allowincell="f" fillcolor="#a5a5a5 [2092]" stroked="f">
          <v:textpath style="font-family:&quot;Calibri&quot;;font-size:1pt" string="Электронная библиотека БГЭУ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8E" w:rsidRDefault="00396E8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67906" o:spid="_x0000_s2049" type="#_x0000_t136" style="position:absolute;margin-left:0;margin-top:0;width:588.75pt;height:70.65pt;rotation:315;z-index:-251657216;mso-position-horizontal:center;mso-position-horizontal-relative:margin;mso-position-vertical:center;mso-position-vertical-relative:margin" o:allowincell="f" fillcolor="#a5a5a5 [2092]" stroked="f">
          <v:textpath style="font-family:&quot;Calibri&quot;;font-size:1pt" string="Электронная библиотека БГЭУ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D9E"/>
    <w:multiLevelType w:val="hybridMultilevel"/>
    <w:tmpl w:val="06566F2A"/>
    <w:lvl w:ilvl="0" w:tplc="F06E73B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B431A"/>
    <w:multiLevelType w:val="hybridMultilevel"/>
    <w:tmpl w:val="01BA7CBC"/>
    <w:lvl w:ilvl="0" w:tplc="F06E73B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9B3"/>
    <w:multiLevelType w:val="hybridMultilevel"/>
    <w:tmpl w:val="AAD42584"/>
    <w:lvl w:ilvl="0" w:tplc="5AAE4F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34019"/>
    <w:multiLevelType w:val="hybridMultilevel"/>
    <w:tmpl w:val="59940630"/>
    <w:lvl w:ilvl="0" w:tplc="F06E73B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A2595"/>
    <w:multiLevelType w:val="hybridMultilevel"/>
    <w:tmpl w:val="FD8A2928"/>
    <w:lvl w:ilvl="0" w:tplc="FE2C8B9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01300"/>
    <w:multiLevelType w:val="hybridMultilevel"/>
    <w:tmpl w:val="DDC8C370"/>
    <w:lvl w:ilvl="0" w:tplc="F06E73B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273B"/>
    <w:rsid w:val="00396E8E"/>
    <w:rsid w:val="0047165B"/>
    <w:rsid w:val="00D1133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273B"/>
    <w:pPr>
      <w:spacing w:after="0" w:line="240" w:lineRule="auto"/>
      <w:ind w:left="-180"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FE27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9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E8E"/>
  </w:style>
  <w:style w:type="paragraph" w:styleId="a7">
    <w:name w:val="footer"/>
    <w:basedOn w:val="a"/>
    <w:link w:val="a8"/>
    <w:uiPriority w:val="99"/>
    <w:unhideWhenUsed/>
    <w:rsid w:val="0039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 бухучета контроля и финансов</dc:creator>
  <cp:keywords/>
  <dc:description/>
  <cp:lastModifiedBy>Научный читальный зал</cp:lastModifiedBy>
  <cp:revision>4</cp:revision>
  <dcterms:created xsi:type="dcterms:W3CDTF">2015-01-22T12:47:00Z</dcterms:created>
  <dcterms:modified xsi:type="dcterms:W3CDTF">2015-02-16T14:18:00Z</dcterms:modified>
</cp:coreProperties>
</file>