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ED511" w14:textId="1C767820" w:rsidR="00BA52D5" w:rsidRPr="00BA52D5" w:rsidRDefault="00BA52D5" w:rsidP="00BA52D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A52D5">
        <w:rPr>
          <w:rFonts w:ascii="Times New Roman" w:hAnsi="Times New Roman" w:cs="Times New Roman"/>
          <w:b/>
          <w:color w:val="auto"/>
          <w:sz w:val="28"/>
          <w:szCs w:val="28"/>
        </w:rPr>
        <w:t>ГЛОССАРИЙ</w:t>
      </w:r>
      <w:r w:rsidR="00E56A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ДИСЦИПЛИНЕ</w:t>
      </w:r>
    </w:p>
    <w:p w14:paraId="7860DFBD" w14:textId="77777777" w:rsidR="00BA52D5" w:rsidRPr="00BA52D5" w:rsidRDefault="00BA52D5" w:rsidP="00BA52D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14:paraId="504760BE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397B">
        <w:rPr>
          <w:rFonts w:ascii="Times New Roman" w:hAnsi="Times New Roman" w:cs="Times New Roman"/>
          <w:b/>
          <w:color w:val="auto"/>
          <w:sz w:val="28"/>
          <w:szCs w:val="28"/>
        </w:rPr>
        <w:t>Аккредитация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это допуск к осуществлению функций управляющего в отношении должников, находящихся в ведении (подчинении) соответствующего государственного органа.</w:t>
      </w:r>
    </w:p>
    <w:p w14:paraId="3ED59BF2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F8">
        <w:rPr>
          <w:rFonts w:ascii="Times New Roman" w:hAnsi="Times New Roman" w:cs="Times New Roman"/>
          <w:b/>
          <w:color w:val="auto"/>
          <w:sz w:val="28"/>
          <w:szCs w:val="28"/>
        </w:rPr>
        <w:t>Антикризисное регулирование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это политика правительства, направленная на защиту предприятий от кризисных ситуаций и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предотвращение их банкротства.</w:t>
      </w:r>
    </w:p>
    <w:p w14:paraId="3CB2B73E" w14:textId="77777777" w:rsidR="002112A5" w:rsidRPr="000E68AF" w:rsidRDefault="002112A5" w:rsidP="002112A5">
      <w:pPr>
        <w:pStyle w:val="1"/>
        <w:shd w:val="clear" w:color="auto" w:fill="auto"/>
        <w:ind w:firstLine="709"/>
        <w:jc w:val="both"/>
        <w:rPr>
          <w:color w:val="auto"/>
        </w:rPr>
      </w:pPr>
      <w:proofErr w:type="gramStart"/>
      <w:r w:rsidRPr="008C79FE">
        <w:rPr>
          <w:b/>
          <w:color w:val="auto"/>
        </w:rPr>
        <w:t>Банкротство</w:t>
      </w:r>
      <w:r w:rsidRPr="000E68AF">
        <w:rPr>
          <w:color w:val="auto"/>
        </w:rPr>
        <w:t xml:space="preserve"> –</w:t>
      </w:r>
      <w:r>
        <w:rPr>
          <w:color w:val="auto"/>
        </w:rPr>
        <w:t xml:space="preserve"> </w:t>
      </w:r>
      <w:r w:rsidRPr="000E68AF">
        <w:rPr>
          <w:color w:val="auto"/>
        </w:rPr>
        <w:t>институт рыночной экономики, выполняющий функции поддержания рыночной конкурентной среды и страхования рисков п</w:t>
      </w:r>
      <w:r>
        <w:rPr>
          <w:color w:val="auto"/>
        </w:rPr>
        <w:t>редпринимательской деятельности</w:t>
      </w:r>
      <w:r w:rsidRPr="000E68AF">
        <w:rPr>
          <w:color w:val="auto"/>
        </w:rPr>
        <w:t>.</w:t>
      </w:r>
      <w:proofErr w:type="gramEnd"/>
    </w:p>
    <w:p w14:paraId="518D8CBF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Банкротство</w:t>
      </w:r>
      <w:r w:rsidRPr="000E68AF">
        <w:rPr>
          <w:color w:val="auto"/>
        </w:rPr>
        <w:t xml:space="preserve"> – неплатежеспособность, имеющая или приобретающая устойчивый характер, признанная решением хозяйственного суда о банкротстве с ликвидацией должника – юридического лица, прекращением деятельн</w:t>
      </w:r>
      <w:r>
        <w:rPr>
          <w:color w:val="auto"/>
        </w:rPr>
        <w:t xml:space="preserve">ости </w:t>
      </w:r>
      <w:proofErr w:type="gramStart"/>
      <w:r>
        <w:rPr>
          <w:color w:val="auto"/>
        </w:rPr>
        <w:t>должника-</w:t>
      </w:r>
      <w:r w:rsidRPr="000E68AF">
        <w:rPr>
          <w:color w:val="auto"/>
        </w:rPr>
        <w:t>индивидуального</w:t>
      </w:r>
      <w:proofErr w:type="gramEnd"/>
      <w:r w:rsidRPr="000E68AF">
        <w:rPr>
          <w:color w:val="auto"/>
        </w:rPr>
        <w:t xml:space="preserve"> предпринимателя.</w:t>
      </w:r>
    </w:p>
    <w:p w14:paraId="5D408425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397B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Государственные управляющие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физические лица, исполняющие функции управляющих на основании трудовых взаимоотношений с органом государственного управления. Государственные управляющие назначаются в отношении градообразующих или приравненных к ним организаций, государственных организаций, организаций с долей государственной собственности в уставном фонде, а также юридических лиц и индивидуальных предпринимателей, имеющих государственные и международные заказы.</w:t>
      </w:r>
    </w:p>
    <w:p w14:paraId="0CA93F84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Дефляция</w:t>
      </w:r>
      <w:r>
        <w:rPr>
          <w:color w:val="auto"/>
        </w:rPr>
        <w:t xml:space="preserve"> </w:t>
      </w:r>
      <w:r w:rsidRPr="003A7B78">
        <w:rPr>
          <w:color w:val="auto"/>
        </w:rPr>
        <w:t>–</w:t>
      </w:r>
      <w:r>
        <w:rPr>
          <w:color w:val="auto"/>
        </w:rPr>
        <w:t xml:space="preserve"> </w:t>
      </w:r>
      <w:r w:rsidRPr="003A7B78">
        <w:rPr>
          <w:color w:val="auto"/>
        </w:rPr>
        <w:t>это процесс, обратный инфляции, который выражается в снижении цен и, соответственно, увеличении покупательной способности денег.</w:t>
      </w:r>
    </w:p>
    <w:p w14:paraId="0FA7F8D4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Дефляционный риск</w:t>
      </w:r>
      <w:r w:rsidRPr="003A7B78">
        <w:rPr>
          <w:color w:val="auto"/>
        </w:rPr>
        <w:t xml:space="preserve"> – это риск того, что при росте дефляции происходят падение уровня цен, ухудшение экономических условий предпринимательства и снижения доходов.</w:t>
      </w:r>
    </w:p>
    <w:p w14:paraId="0C5CC12D" w14:textId="77777777" w:rsidR="00E23951" w:rsidRPr="000E68AF" w:rsidRDefault="00E23951" w:rsidP="00E23951">
      <w:pPr>
        <w:pStyle w:val="1"/>
        <w:ind w:firstLine="709"/>
        <w:jc w:val="both"/>
        <w:rPr>
          <w:bCs/>
          <w:color w:val="auto"/>
        </w:rPr>
      </w:pPr>
      <w:r w:rsidRPr="009B192A">
        <w:rPr>
          <w:b/>
          <w:bCs/>
          <w:color w:val="auto"/>
        </w:rPr>
        <w:t>Диагностика</w:t>
      </w:r>
      <w:r w:rsidRPr="000E68AF">
        <w:rPr>
          <w:bCs/>
          <w:color w:val="auto"/>
        </w:rPr>
        <w:t xml:space="preserve"> – это процесс установления и изучения признаков, характеризующих состояние экономической системы, для предсказания возможных отклонений и предотвращения нарушений нормального режима работы.</w:t>
      </w:r>
    </w:p>
    <w:p w14:paraId="16572AD0" w14:textId="77777777" w:rsidR="00E23951" w:rsidRPr="000E68AF" w:rsidRDefault="00E23951" w:rsidP="00E23951">
      <w:pPr>
        <w:pStyle w:val="1"/>
        <w:ind w:firstLine="709"/>
        <w:jc w:val="both"/>
        <w:rPr>
          <w:bCs/>
          <w:color w:val="auto"/>
        </w:rPr>
      </w:pPr>
      <w:r w:rsidRPr="009B192A">
        <w:rPr>
          <w:b/>
          <w:bCs/>
          <w:color w:val="auto"/>
        </w:rPr>
        <w:t>Диагностика кризисов в организации</w:t>
      </w:r>
      <w:r w:rsidRPr="000E68AF">
        <w:rPr>
          <w:bCs/>
          <w:color w:val="auto"/>
        </w:rPr>
        <w:t xml:space="preserve"> – это совокупность методов, направленных на выявление проблем, слабых и «узких» мест в системе управления, которые являются причинами неблагополучного финансового состояния и других негативных показателей деятельности.</w:t>
      </w:r>
    </w:p>
    <w:p w14:paraId="545CA81A" w14:textId="77777777" w:rsidR="00E23951" w:rsidRPr="000E68AF" w:rsidRDefault="00E23951" w:rsidP="00E23951">
      <w:pPr>
        <w:pStyle w:val="1"/>
        <w:ind w:firstLine="709"/>
        <w:jc w:val="both"/>
        <w:rPr>
          <w:bCs/>
          <w:color w:val="auto"/>
        </w:rPr>
      </w:pPr>
      <w:r w:rsidRPr="009B192A">
        <w:rPr>
          <w:b/>
          <w:bCs/>
          <w:color w:val="auto"/>
        </w:rPr>
        <w:t>Диагностика экономической системы</w:t>
      </w:r>
      <w:r w:rsidRPr="000E68AF">
        <w:rPr>
          <w:bCs/>
          <w:color w:val="auto"/>
        </w:rPr>
        <w:t xml:space="preserve"> – совокупность исследований для определения целей функционирования хозяйственного объекта (организации, предприятия), способов их достижения, выявления проблем и вариантов их решения.</w:t>
      </w:r>
    </w:p>
    <w:p w14:paraId="6E795BC7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Досудебная санация</w:t>
      </w:r>
      <w:r w:rsidRPr="000E68AF">
        <w:rPr>
          <w:color w:val="auto"/>
        </w:rPr>
        <w:t xml:space="preserve"> – процедура, согласно которой собственник предприятия, кредитор и заинтересованный в деятельности предприятия инвестор оказывают финансо</w:t>
      </w:r>
      <w:r>
        <w:rPr>
          <w:color w:val="auto"/>
        </w:rPr>
        <w:t>вую помощь предприятию-должнику.</w:t>
      </w:r>
    </w:p>
    <w:p w14:paraId="0D9CCFFB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Защитный период</w:t>
      </w:r>
      <w:r w:rsidRPr="000E68AF">
        <w:rPr>
          <w:color w:val="auto"/>
        </w:rPr>
        <w:t xml:space="preserve"> – процедура банкротства, применяемая к должнику с момента принятия хозяйственным судом заявления о банкротстве до окончания срока, определяемого в соответствии с законодательством, в целях проверки наличия оснований для возбуждения конкурсного производства и обеспечения сохранности имущества должника.</w:t>
      </w:r>
    </w:p>
    <w:p w14:paraId="53F66D1D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Инфляционный риск</w:t>
      </w:r>
      <w:r w:rsidRPr="003A7B78">
        <w:rPr>
          <w:color w:val="auto"/>
        </w:rPr>
        <w:t xml:space="preserve"> – это риск того, что при росте </w:t>
      </w:r>
      <w:proofErr w:type="gramStart"/>
      <w:r w:rsidRPr="003A7B78">
        <w:rPr>
          <w:color w:val="auto"/>
        </w:rPr>
        <w:t>инфляции</w:t>
      </w:r>
      <w:proofErr w:type="gramEnd"/>
      <w:r w:rsidRPr="003A7B78">
        <w:rPr>
          <w:color w:val="auto"/>
        </w:rPr>
        <w:t xml:space="preserve"> получаемые </w:t>
      </w:r>
      <w:r w:rsidRPr="003A7B78">
        <w:rPr>
          <w:color w:val="auto"/>
        </w:rPr>
        <w:lastRenderedPageBreak/>
        <w:t>денежные доходы обесцениваются, с точки зрения реальной покупательной сп</w:t>
      </w:r>
      <w:r>
        <w:rPr>
          <w:color w:val="auto"/>
        </w:rPr>
        <w:t>особности, быстрее, чем растут.</w:t>
      </w:r>
    </w:p>
    <w:p w14:paraId="78DFE617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20"/>
      <w:bookmarkStart w:id="2" w:name="bookmark21"/>
      <w:r w:rsidRPr="0093397B">
        <w:rPr>
          <w:rFonts w:ascii="Times New Roman" w:hAnsi="Times New Roman" w:cs="Times New Roman"/>
          <w:b/>
          <w:color w:val="auto"/>
          <w:sz w:val="28"/>
          <w:szCs w:val="28"/>
        </w:rPr>
        <w:t>Конкурсное производство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это сложная процедура непосредственной реализации института экономической несостоятельности (банкротства), включающая множество различных процессуальных действий и состоящая из нескольких этапов (период с момента возбуждения конкурсного производства до принятия решения о санации или банкротстве с ликвидацией и непосредственно санация либо ликвидация), наступающих в зависимости от результатов завершения предыдущего этапа.</w:t>
      </w:r>
    </w:p>
    <w:p w14:paraId="1E85402A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Кредитный риск</w:t>
      </w:r>
      <w:r w:rsidRPr="003A7B78">
        <w:rPr>
          <w:color w:val="auto"/>
        </w:rPr>
        <w:t xml:space="preserve"> – опасность неуплаты заемщиком основного долга и про</w:t>
      </w:r>
      <w:r>
        <w:rPr>
          <w:color w:val="auto"/>
        </w:rPr>
        <w:t>центов, причитающихся кредитору.</w:t>
      </w:r>
    </w:p>
    <w:p w14:paraId="55EADE75" w14:textId="77777777" w:rsidR="00E23951" w:rsidRPr="000E68AF" w:rsidRDefault="00E23951" w:rsidP="00E23951">
      <w:pPr>
        <w:pStyle w:val="11"/>
        <w:shd w:val="clear" w:color="auto" w:fill="auto"/>
        <w:spacing w:after="0"/>
        <w:ind w:firstLine="709"/>
        <w:jc w:val="both"/>
        <w:rPr>
          <w:b w:val="0"/>
          <w:color w:val="auto"/>
        </w:rPr>
      </w:pPr>
      <w:r w:rsidRPr="00306DDF">
        <w:rPr>
          <w:color w:val="auto"/>
        </w:rPr>
        <w:t>Кризис</w:t>
      </w:r>
      <w:r w:rsidRPr="000E68AF">
        <w:rPr>
          <w:b w:val="0"/>
          <w:color w:val="auto"/>
        </w:rPr>
        <w:t xml:space="preserve"> – это крайнее обострение противоречий в социально-экономической системе, угрожающее ее жизнеспособности.</w:t>
      </w:r>
    </w:p>
    <w:bookmarkEnd w:id="1"/>
    <w:bookmarkEnd w:id="2"/>
    <w:p w14:paraId="30266C69" w14:textId="77777777" w:rsidR="00E23951" w:rsidRPr="000E68AF" w:rsidRDefault="00E23951" w:rsidP="00E23951">
      <w:pPr>
        <w:pStyle w:val="1"/>
        <w:shd w:val="clear" w:color="auto" w:fill="auto"/>
        <w:ind w:firstLine="709"/>
        <w:jc w:val="both"/>
        <w:rPr>
          <w:color w:val="auto"/>
        </w:rPr>
      </w:pPr>
      <w:r w:rsidRPr="009566F8">
        <w:rPr>
          <w:b/>
          <w:color w:val="auto"/>
        </w:rPr>
        <w:t>Кризис предприятия (организации)</w:t>
      </w:r>
      <w:r w:rsidRPr="000E68AF">
        <w:rPr>
          <w:color w:val="auto"/>
        </w:rPr>
        <w:t xml:space="preserve"> </w:t>
      </w:r>
      <w:r w:rsidRPr="000E68AF">
        <w:rPr>
          <w:bCs/>
          <w:color w:val="auto"/>
        </w:rPr>
        <w:t>–</w:t>
      </w:r>
      <w:r w:rsidRPr="000E68AF">
        <w:rPr>
          <w:color w:val="auto"/>
        </w:rPr>
        <w:t xml:space="preserve"> переломный момент в деятельности предприятия, выражающийся в последовательности процессов (событий и действий) – от возникновения симп</w:t>
      </w:r>
      <w:r>
        <w:rPr>
          <w:color w:val="auto"/>
        </w:rPr>
        <w:t>томов кризиса до его разрешения</w:t>
      </w:r>
      <w:r w:rsidRPr="000E68AF">
        <w:rPr>
          <w:color w:val="auto"/>
        </w:rPr>
        <w:t>.</w:t>
      </w:r>
    </w:p>
    <w:p w14:paraId="15EE01EF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Ликвидационное производство</w:t>
      </w:r>
      <w:r w:rsidRPr="000E68AF">
        <w:rPr>
          <w:color w:val="auto"/>
        </w:rPr>
        <w:t xml:space="preserve"> – процедура конкурсного производства, применяемая к должнику, признанному банкротом, в целях ликвидации должника – юридического лица или прекращения деятельности должника – индивидуального предпринимателя и освобождения его от долгов, продажи имущества должника и соразмерного удовлетворения требований кредиторов.</w:t>
      </w:r>
    </w:p>
    <w:p w14:paraId="3BB6217F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397B">
        <w:rPr>
          <w:rFonts w:ascii="Times New Roman" w:hAnsi="Times New Roman" w:cs="Times New Roman"/>
          <w:b/>
          <w:color w:val="auto"/>
          <w:sz w:val="28"/>
          <w:szCs w:val="28"/>
        </w:rPr>
        <w:t>Лицензиаты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субъекты предпринимательской деятельности (индивидуальные предприниматели и юридические лица), исполняющие функции управляющих в рамках предпринимательской деятельности. Данная категория имеет право осуществлять </w:t>
      </w:r>
      <w:r>
        <w:rPr>
          <w:rFonts w:ascii="Times New Roman" w:hAnsi="Times New Roman" w:cs="Times New Roman"/>
          <w:color w:val="auto"/>
          <w:sz w:val="28"/>
          <w:szCs w:val="28"/>
        </w:rPr>
        <w:t>функции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управляющих в отношении только должников негосударственной формы собственности.</w:t>
      </w:r>
    </w:p>
    <w:p w14:paraId="472F3EC1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397B">
        <w:rPr>
          <w:rFonts w:ascii="Times New Roman" w:hAnsi="Times New Roman" w:cs="Times New Roman"/>
          <w:b/>
          <w:color w:val="auto"/>
          <w:sz w:val="28"/>
          <w:szCs w:val="28"/>
        </w:rPr>
        <w:t>Мировое соглашение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это соглашение сторон о прекращении спора на основе мирного урегулирования взаимных претензий </w:t>
      </w:r>
      <w:r>
        <w:rPr>
          <w:rFonts w:ascii="Times New Roman" w:hAnsi="Times New Roman" w:cs="Times New Roman"/>
          <w:color w:val="auto"/>
          <w:sz w:val="28"/>
          <w:szCs w:val="28"/>
        </w:rPr>
        <w:t>и утверждения взаимных уступок.</w:t>
      </w:r>
    </w:p>
    <w:p w14:paraId="43E7959B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 xml:space="preserve">Наблюдение </w:t>
      </w:r>
      <w:r w:rsidRPr="000E68AF">
        <w:rPr>
          <w:color w:val="auto"/>
        </w:rPr>
        <w:t>– процедура банкротства, применяемая к должнику с момента принятия хозяйственным судом заявления о признании должника банкротом до момента, определяемого в соответствии с законом в целях обеспечения сохранности имущества должника и проведения анализа его финансового состояния.</w:t>
      </w:r>
    </w:p>
    <w:p w14:paraId="34F1B860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5F5F34">
        <w:rPr>
          <w:b/>
          <w:color w:val="auto"/>
        </w:rPr>
        <w:t>Наступательная стратегия</w:t>
      </w:r>
      <w:r w:rsidRPr="000E68AF">
        <w:rPr>
          <w:color w:val="auto"/>
        </w:rPr>
        <w:t xml:space="preserve"> – стратегия диверсификации, которая заключается в завоевания дополнительных рынков сбыта за счет</w:t>
      </w:r>
      <w:r>
        <w:rPr>
          <w:color w:val="auto"/>
        </w:rPr>
        <w:t xml:space="preserve"> выпуска новых видов продукции.</w:t>
      </w:r>
    </w:p>
    <w:p w14:paraId="7817D8E8" w14:textId="55FFC140" w:rsidR="00E93289" w:rsidRDefault="002A5A71" w:rsidP="00E93289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Н</w:t>
      </w:r>
      <w:r w:rsidR="00E93289" w:rsidRPr="002A5A71">
        <w:rPr>
          <w:b/>
          <w:color w:val="auto"/>
        </w:rPr>
        <w:t>еопределенность</w:t>
      </w:r>
      <w:r w:rsidR="00E93289" w:rsidRPr="00E93289">
        <w:rPr>
          <w:color w:val="auto"/>
        </w:rPr>
        <w:t xml:space="preserve"> </w:t>
      </w:r>
      <w:r>
        <w:rPr>
          <w:color w:val="auto"/>
        </w:rPr>
        <w:t>(в</w:t>
      </w:r>
      <w:r w:rsidRPr="00E93289">
        <w:rPr>
          <w:color w:val="auto"/>
        </w:rPr>
        <w:t xml:space="preserve"> экономической теории</w:t>
      </w:r>
      <w:r>
        <w:rPr>
          <w:color w:val="auto"/>
        </w:rPr>
        <w:t>)</w:t>
      </w:r>
      <w:r w:rsidRPr="00E93289">
        <w:rPr>
          <w:color w:val="auto"/>
        </w:rPr>
        <w:t xml:space="preserve"> </w:t>
      </w:r>
      <w:r w:rsidR="00E93289" w:rsidRPr="00E93289">
        <w:rPr>
          <w:color w:val="auto"/>
        </w:rPr>
        <w:t>– это неполнота или неточность информации об условиях хозяйственной деятельности предприятия, в том числе и связанных с ней затратах и п</w:t>
      </w:r>
      <w:r>
        <w:rPr>
          <w:color w:val="auto"/>
        </w:rPr>
        <w:t>олученных результатах.</w:t>
      </w:r>
    </w:p>
    <w:p w14:paraId="5F633CC8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Несостоятельность</w:t>
      </w:r>
      <w:r w:rsidRPr="000E68AF">
        <w:rPr>
          <w:color w:val="auto"/>
        </w:rPr>
        <w:t xml:space="preserve"> – отсутстви</w:t>
      </w:r>
      <w:r>
        <w:rPr>
          <w:color w:val="auto"/>
        </w:rPr>
        <w:t>е денег для оплаты обязательств</w:t>
      </w:r>
      <w:r w:rsidRPr="000E68AF">
        <w:rPr>
          <w:color w:val="auto"/>
        </w:rPr>
        <w:t>.</w:t>
      </w:r>
    </w:p>
    <w:p w14:paraId="62A848F9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Объект риска</w:t>
      </w:r>
      <w:r w:rsidRPr="00126418">
        <w:rPr>
          <w:color w:val="auto"/>
        </w:rPr>
        <w:t xml:space="preserve"> – объект, относительно которого рассматривается риск (объект, которому угрожает риск).</w:t>
      </w:r>
    </w:p>
    <w:p w14:paraId="26E3E49F" w14:textId="77777777" w:rsidR="00E23951" w:rsidRPr="00126418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Объем риска</w:t>
      </w:r>
      <w:r w:rsidRPr="00126418">
        <w:rPr>
          <w:color w:val="auto"/>
        </w:rPr>
        <w:t xml:space="preserve"> – величина экономических последствий собы</w:t>
      </w:r>
      <w:r>
        <w:rPr>
          <w:color w:val="auto"/>
        </w:rPr>
        <w:t>тия, служащего предметом риска.</w:t>
      </w:r>
    </w:p>
    <w:p w14:paraId="6AC35EC3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39F6">
        <w:rPr>
          <w:rFonts w:ascii="Times New Roman" w:hAnsi="Times New Roman" w:cs="Times New Roman"/>
          <w:b/>
          <w:color w:val="auto"/>
          <w:sz w:val="28"/>
          <w:szCs w:val="28"/>
        </w:rPr>
        <w:t>Политика антикризисного регулирования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направление деятельности правительства, совокупность принципов, методов, форм организационного поведения, направленных на стабилизацию экономической ситуации, поверженной в 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lastRenderedPageBreak/>
        <w:t>кризис, на формирование механизма регулирования, способного своевременно влиять на рыночную конъюнктуру с учетом стратегии антикризисного регулирования.</w:t>
      </w:r>
    </w:p>
    <w:p w14:paraId="0EB04503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Риск</w:t>
      </w:r>
      <w:r w:rsidRPr="00126418">
        <w:rPr>
          <w:color w:val="auto"/>
        </w:rPr>
        <w:t xml:space="preserve"> – некоторые события, наступление которых не является обязательным в рамках рассматриваемого промежутка времени.</w:t>
      </w:r>
    </w:p>
    <w:p w14:paraId="533A0DCA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Риск ликвидности</w:t>
      </w:r>
      <w:r w:rsidRPr="003A7B78">
        <w:rPr>
          <w:color w:val="auto"/>
        </w:rPr>
        <w:t xml:space="preserve"> – это риск, связанный с возможностью потерь при реализации ценных бумаг или других товаров из-за изменения оценки их качества и потребительской стоимости.</w:t>
      </w:r>
    </w:p>
    <w:p w14:paraId="523B7E21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proofErr w:type="gramStart"/>
      <w:r w:rsidRPr="002A5A71">
        <w:rPr>
          <w:b/>
          <w:color w:val="auto"/>
        </w:rPr>
        <w:t>Риск упущенной выгоды</w:t>
      </w:r>
      <w:r w:rsidRPr="003A7B78">
        <w:rPr>
          <w:color w:val="auto"/>
        </w:rPr>
        <w:t xml:space="preserve"> – это риск наступления косвенного (побочного) финансового ущерба (неполучение прибыли) в результате неосуществления какого-либо мероприятия (страхования, хе</w:t>
      </w:r>
      <w:r>
        <w:rPr>
          <w:color w:val="auto"/>
        </w:rPr>
        <w:t>джирования, инвестирования и т.</w:t>
      </w:r>
      <w:r w:rsidRPr="003A7B78">
        <w:rPr>
          <w:color w:val="auto"/>
        </w:rPr>
        <w:t>п.).</w:t>
      </w:r>
      <w:proofErr w:type="gramEnd"/>
    </w:p>
    <w:p w14:paraId="3993D85B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Санация</w:t>
      </w:r>
      <w:r w:rsidRPr="000E68AF">
        <w:rPr>
          <w:color w:val="auto"/>
        </w:rPr>
        <w:t xml:space="preserve"> (</w:t>
      </w:r>
      <w:r w:rsidRPr="008C79FE">
        <w:rPr>
          <w:i/>
          <w:color w:val="auto"/>
        </w:rPr>
        <w:t xml:space="preserve">от лат. </w:t>
      </w:r>
      <w:proofErr w:type="spellStart"/>
      <w:r w:rsidRPr="008C79FE">
        <w:rPr>
          <w:i/>
          <w:color w:val="auto"/>
        </w:rPr>
        <w:t>sanatio</w:t>
      </w:r>
      <w:proofErr w:type="spellEnd"/>
      <w:r w:rsidRPr="008C79FE">
        <w:rPr>
          <w:i/>
          <w:color w:val="auto"/>
        </w:rPr>
        <w:t xml:space="preserve"> – оздоровление, лечение</w:t>
      </w:r>
      <w:r w:rsidRPr="000E68AF">
        <w:rPr>
          <w:color w:val="auto"/>
        </w:rPr>
        <w:t>) – система разного рода мероприятий (структурная перестройка, реструктуризация кредиторской задолженности, изменение ассортимента производимой продукции, сокращение числа работающих, ликвидация излишних структурных звеньев и подразделений и т.п.), которые</w:t>
      </w:r>
      <w:r>
        <w:rPr>
          <w:color w:val="auto"/>
        </w:rPr>
        <w:t xml:space="preserve"> позволяют избежать банкротства</w:t>
      </w:r>
      <w:r w:rsidRPr="000E68AF">
        <w:rPr>
          <w:color w:val="auto"/>
        </w:rPr>
        <w:t>.</w:t>
      </w:r>
    </w:p>
    <w:p w14:paraId="2C507618" w14:textId="77777777" w:rsidR="00E23951" w:rsidRDefault="00E23951" w:rsidP="00E23951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Селективный риск</w:t>
      </w:r>
      <w:r w:rsidRPr="003A7B78">
        <w:rPr>
          <w:color w:val="auto"/>
        </w:rPr>
        <w:t xml:space="preserve"> – это риск </w:t>
      </w:r>
      <w:proofErr w:type="spellStart"/>
      <w:r w:rsidRPr="003A7B78">
        <w:rPr>
          <w:color w:val="auto"/>
        </w:rPr>
        <w:t>неправильнного</w:t>
      </w:r>
      <w:proofErr w:type="spellEnd"/>
      <w:r w:rsidRPr="003A7B78">
        <w:rPr>
          <w:color w:val="auto"/>
        </w:rPr>
        <w:t xml:space="preserve"> выбора видов вложения капитала, виды ценных бумаг для инвестирования в сравнении с другими видами ценных бумаг при формировании инвестиционного портфеля.</w:t>
      </w:r>
    </w:p>
    <w:p w14:paraId="3013F3E4" w14:textId="77777777" w:rsidR="002112A5" w:rsidRDefault="002112A5" w:rsidP="002112A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F8">
        <w:rPr>
          <w:rFonts w:ascii="Times New Roman" w:hAnsi="Times New Roman" w:cs="Times New Roman"/>
          <w:b/>
          <w:color w:val="auto"/>
          <w:sz w:val="28"/>
          <w:szCs w:val="28"/>
        </w:rPr>
        <w:t>Система антикризисного регулирования экономики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комплекс мер, направленных на предотвращение массовых банкротств на макроэкономическом уровне.</w:t>
      </w:r>
    </w:p>
    <w:p w14:paraId="08803D36" w14:textId="77777777" w:rsidR="002112A5" w:rsidRPr="000E68AF" w:rsidRDefault="002112A5" w:rsidP="002112A5">
      <w:pPr>
        <w:pStyle w:val="1"/>
        <w:shd w:val="clear" w:color="auto" w:fill="auto"/>
        <w:ind w:firstLine="709"/>
        <w:jc w:val="both"/>
        <w:rPr>
          <w:color w:val="auto"/>
        </w:rPr>
      </w:pPr>
      <w:proofErr w:type="gramStart"/>
      <w:r w:rsidRPr="009566F8">
        <w:rPr>
          <w:b/>
          <w:color w:val="auto"/>
        </w:rPr>
        <w:t>Система антикризисного управления организацией</w:t>
      </w:r>
      <w:r w:rsidRPr="000E68AF">
        <w:rPr>
          <w:color w:val="auto"/>
        </w:rPr>
        <w:t xml:space="preserve"> – это совокупность действий и последовательность принимаемых управленческих решений, позволяющих оценить, проанализировать и выработать необходимую систему воздействия на оздоровление предприятия с целью предотвращения его банкротства, т.е. особенностью антикризисного менеджмента является то, что в качестве предмета выступают лишь профилактические меры финансового оздоровления предприятия, которые, тем не менее, связаны с системой управления организации (кадры, материальные ресурсы и т</w:t>
      </w:r>
      <w:proofErr w:type="gramEnd"/>
      <w:r w:rsidRPr="000E68AF">
        <w:rPr>
          <w:color w:val="auto"/>
        </w:rPr>
        <w:t>.д.).</w:t>
      </w:r>
    </w:p>
    <w:p w14:paraId="517F09AD" w14:textId="77777777" w:rsidR="00E23951" w:rsidRPr="000E68AF" w:rsidRDefault="00E23951" w:rsidP="00E239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66F8">
        <w:rPr>
          <w:rFonts w:ascii="Times New Roman" w:hAnsi="Times New Roman" w:cs="Times New Roman"/>
          <w:b/>
          <w:color w:val="auto"/>
          <w:sz w:val="28"/>
          <w:szCs w:val="28"/>
        </w:rPr>
        <w:t>Стратегия антикризисного регулирования</w:t>
      </w:r>
      <w:r w:rsidRPr="000E68AF">
        <w:rPr>
          <w:rFonts w:ascii="Times New Roman" w:hAnsi="Times New Roman" w:cs="Times New Roman"/>
          <w:color w:val="auto"/>
          <w:sz w:val="28"/>
          <w:szCs w:val="28"/>
        </w:rPr>
        <w:t xml:space="preserve"> – генеральное направление стабилизации экономического развития с целью </w:t>
      </w:r>
      <w:proofErr w:type="gramStart"/>
      <w:r w:rsidRPr="000E68AF">
        <w:rPr>
          <w:rFonts w:ascii="Times New Roman" w:hAnsi="Times New Roman" w:cs="Times New Roman"/>
          <w:color w:val="auto"/>
          <w:sz w:val="28"/>
          <w:szCs w:val="28"/>
        </w:rPr>
        <w:t>реализации стратегии преобразования общественной жизни страны</w:t>
      </w:r>
      <w:proofErr w:type="gramEnd"/>
      <w:r w:rsidRPr="000E68A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E5CC63A" w14:textId="552BDED6" w:rsidR="001F2999" w:rsidRDefault="001F2999" w:rsidP="001F2999">
      <w:pPr>
        <w:pStyle w:val="1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Субъективная информация</w:t>
      </w:r>
      <w:r w:rsidRPr="00FD7E04">
        <w:rPr>
          <w:color w:val="auto"/>
        </w:rPr>
        <w:t xml:space="preserve"> – это результат волевого акта менеджера в выборе того или иного значения конкретного параметра элементов информационной структуры, основанного на его индивидуальном опыте, интуитив</w:t>
      </w:r>
      <w:r w:rsidR="002A5A71">
        <w:rPr>
          <w:color w:val="auto"/>
        </w:rPr>
        <w:t>ных суждениях, профессионализме</w:t>
      </w:r>
      <w:r w:rsidRPr="00FD7E04">
        <w:rPr>
          <w:color w:val="auto"/>
        </w:rPr>
        <w:t>.</w:t>
      </w:r>
    </w:p>
    <w:p w14:paraId="2D8C9838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Судебная санация</w:t>
      </w:r>
      <w:r w:rsidRPr="000E68AF">
        <w:rPr>
          <w:color w:val="auto"/>
        </w:rPr>
        <w:t xml:space="preserve"> (</w:t>
      </w:r>
      <w:r w:rsidRPr="008C79FE">
        <w:rPr>
          <w:i/>
          <w:color w:val="auto"/>
        </w:rPr>
        <w:t>внешнее управление</w:t>
      </w:r>
      <w:r w:rsidRPr="000E68AF">
        <w:rPr>
          <w:color w:val="auto"/>
        </w:rPr>
        <w:t xml:space="preserve">) – процедура банкротства, применяемая к должнику в целях восстановления его платежеспособности, с передачей полномочий по управлению </w:t>
      </w:r>
      <w:r>
        <w:rPr>
          <w:color w:val="auto"/>
        </w:rPr>
        <w:t>должником внешнему управляющему.</w:t>
      </w:r>
    </w:p>
    <w:p w14:paraId="2E9AC676" w14:textId="77777777" w:rsidR="00E23951" w:rsidRPr="000E68AF" w:rsidRDefault="00E23951" w:rsidP="00E23951">
      <w:pPr>
        <w:pStyle w:val="1"/>
        <w:shd w:val="clear" w:color="auto" w:fill="auto"/>
        <w:ind w:firstLine="709"/>
        <w:jc w:val="both"/>
        <w:rPr>
          <w:color w:val="auto"/>
        </w:rPr>
      </w:pPr>
      <w:bookmarkStart w:id="3" w:name="bookmark18"/>
      <w:bookmarkStart w:id="4" w:name="bookmark19"/>
      <w:bookmarkStart w:id="5" w:name="bookmark24"/>
      <w:bookmarkStart w:id="6" w:name="bookmark25"/>
      <w:r w:rsidRPr="009566F8">
        <w:rPr>
          <w:b/>
          <w:color w:val="auto"/>
        </w:rPr>
        <w:t>Технология антикризисного менеджмента</w:t>
      </w:r>
      <w:r w:rsidRPr="000E68AF">
        <w:rPr>
          <w:color w:val="auto"/>
        </w:rPr>
        <w:t xml:space="preserve"> </w:t>
      </w:r>
      <w:r w:rsidRPr="000E68AF">
        <w:rPr>
          <w:bCs/>
          <w:color w:val="auto"/>
        </w:rPr>
        <w:t>–</w:t>
      </w:r>
      <w:r>
        <w:rPr>
          <w:bCs/>
          <w:color w:val="auto"/>
        </w:rPr>
        <w:t xml:space="preserve"> </w:t>
      </w:r>
      <w:r w:rsidRPr="000E68AF">
        <w:rPr>
          <w:color w:val="auto"/>
        </w:rPr>
        <w:t>совокупность функций, форм и методов реализации антикризисных процедур применительно к конкретному предприятию-должн</w:t>
      </w:r>
      <w:r>
        <w:rPr>
          <w:color w:val="auto"/>
        </w:rPr>
        <w:t>ику.</w:t>
      </w:r>
    </w:p>
    <w:p w14:paraId="1F44712E" w14:textId="7DE891A9" w:rsidR="00F5023E" w:rsidRPr="000E68AF" w:rsidRDefault="00F5023E" w:rsidP="00F5023E">
      <w:pPr>
        <w:pStyle w:val="1"/>
        <w:shd w:val="clear" w:color="auto" w:fill="auto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Факторы хозяйственного риска</w:t>
      </w:r>
      <w:r w:rsidRPr="000E68AF">
        <w:rPr>
          <w:color w:val="auto"/>
        </w:rPr>
        <w:t xml:space="preserve"> – это такие изменения ситуации принятия хозяйственного решения, которые увеличивают шансы и величину нежелательного </w:t>
      </w:r>
      <w:r w:rsidRPr="000E68AF">
        <w:rPr>
          <w:color w:val="auto"/>
        </w:rPr>
        <w:lastRenderedPageBreak/>
        <w:t>отклонения от цели хозяйственной деятельности организаци</w:t>
      </w:r>
      <w:r w:rsidR="002A5A71">
        <w:rPr>
          <w:color w:val="auto"/>
        </w:rPr>
        <w:t>и (от планируемого результата).</w:t>
      </w:r>
    </w:p>
    <w:p w14:paraId="1789D089" w14:textId="77777777" w:rsidR="00E23951" w:rsidRPr="000E68AF" w:rsidRDefault="00E23951" w:rsidP="00E23951">
      <w:pPr>
        <w:pStyle w:val="1"/>
        <w:ind w:firstLine="709"/>
        <w:jc w:val="both"/>
        <w:rPr>
          <w:color w:val="auto"/>
        </w:rPr>
      </w:pPr>
      <w:proofErr w:type="gramStart"/>
      <w:r w:rsidRPr="008C79FE">
        <w:rPr>
          <w:b/>
          <w:color w:val="auto"/>
        </w:rPr>
        <w:t>Финансовая санация</w:t>
      </w:r>
      <w:r w:rsidRPr="000E68AF">
        <w:rPr>
          <w:color w:val="auto"/>
        </w:rPr>
        <w:t xml:space="preserve"> – система непринудительных мер принуждения, направленных на увеличение объемов капитала к необходимому уровню на протяжении определенного периода с целью восстановления ликвидности и платежеспособности, и устранения нарушений, которые вели коммерческий банк к убыточной деятельности или затруднительному финансовому состоянию, а также вследств</w:t>
      </w:r>
      <w:r>
        <w:rPr>
          <w:color w:val="auto"/>
        </w:rPr>
        <w:t>ие этих нарушений.</w:t>
      </w:r>
      <w:proofErr w:type="gramEnd"/>
    </w:p>
    <w:p w14:paraId="404A4D50" w14:textId="47079F00" w:rsidR="00F5023E" w:rsidRPr="000E68AF" w:rsidRDefault="002A5A71" w:rsidP="00F5023E">
      <w:pPr>
        <w:pStyle w:val="1"/>
        <w:shd w:val="clear" w:color="auto" w:fill="auto"/>
        <w:ind w:firstLine="709"/>
        <w:jc w:val="both"/>
        <w:rPr>
          <w:color w:val="auto"/>
        </w:rPr>
      </w:pPr>
      <w:r w:rsidRPr="002A5A71">
        <w:rPr>
          <w:b/>
          <w:color w:val="auto"/>
        </w:rPr>
        <w:t>Х</w:t>
      </w:r>
      <w:r w:rsidR="00F5023E" w:rsidRPr="002A5A71">
        <w:rPr>
          <w:b/>
          <w:color w:val="auto"/>
        </w:rPr>
        <w:t>озяйственный риск</w:t>
      </w:r>
      <w:r w:rsidR="00F5023E" w:rsidRPr="000E68AF">
        <w:rPr>
          <w:color w:val="auto"/>
        </w:rPr>
        <w:t xml:space="preserve"> </w:t>
      </w:r>
      <w:r w:rsidR="0015050F" w:rsidRPr="000E68AF">
        <w:rPr>
          <w:color w:val="auto"/>
        </w:rPr>
        <w:t>–</w:t>
      </w:r>
      <w:r w:rsidR="00F5023E" w:rsidRPr="000E68AF">
        <w:rPr>
          <w:color w:val="auto"/>
        </w:rPr>
        <w:t xml:space="preserve"> это явление, которое отражает меру реальности нежелательного развития хозяйственной деятельности экономического субъекта при да</w:t>
      </w:r>
      <w:r>
        <w:rPr>
          <w:color w:val="auto"/>
        </w:rPr>
        <w:t>нной ситуации принятия решения.</w:t>
      </w:r>
    </w:p>
    <w:bookmarkEnd w:id="3"/>
    <w:bookmarkEnd w:id="4"/>
    <w:bookmarkEnd w:id="5"/>
    <w:bookmarkEnd w:id="6"/>
    <w:p w14:paraId="32F44951" w14:textId="77777777" w:rsidR="002112A5" w:rsidRDefault="002112A5" w:rsidP="002112A5">
      <w:pPr>
        <w:pStyle w:val="1"/>
        <w:ind w:firstLine="709"/>
        <w:jc w:val="both"/>
        <w:rPr>
          <w:bCs/>
          <w:color w:val="auto"/>
        </w:rPr>
      </w:pPr>
      <w:r w:rsidRPr="009B192A">
        <w:rPr>
          <w:b/>
          <w:bCs/>
          <w:color w:val="auto"/>
        </w:rPr>
        <w:t>Экономическая диагностика предприятия</w:t>
      </w:r>
      <w:r w:rsidRPr="000E68AF">
        <w:rPr>
          <w:bCs/>
          <w:color w:val="auto"/>
        </w:rPr>
        <w:t xml:space="preserve"> – комплексный анализ и оценка экономических показателей работы предприятия на основе изучения отдельных результатов, неполной информации с целью выявления возможных перспектив его развития и последствий текущих управленческих решений.</w:t>
      </w:r>
    </w:p>
    <w:p w14:paraId="5C793B8F" w14:textId="2E81FEF7" w:rsidR="000B0998" w:rsidRPr="000E68AF" w:rsidRDefault="000B0998" w:rsidP="000B0998">
      <w:pPr>
        <w:pStyle w:val="1"/>
        <w:ind w:firstLine="709"/>
        <w:jc w:val="both"/>
        <w:rPr>
          <w:color w:val="auto"/>
        </w:rPr>
      </w:pPr>
      <w:r w:rsidRPr="008C79FE">
        <w:rPr>
          <w:b/>
          <w:color w:val="auto"/>
        </w:rPr>
        <w:t>Экономическая несостоятельность</w:t>
      </w:r>
      <w:r w:rsidRPr="000E68AF">
        <w:rPr>
          <w:color w:val="auto"/>
        </w:rPr>
        <w:t xml:space="preserve"> – устойчивая неспособность должника исполнить в установленный срок свои обязательства перед кредиторами, работниками, финансово-кредитными организациями и по обязательным платежам.</w:t>
      </w:r>
    </w:p>
    <w:sectPr w:rsidR="000B0998" w:rsidRPr="000E68AF" w:rsidSect="00306DDF">
      <w:footerReference w:type="default" r:id="rId8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3CFBD" w14:textId="77777777" w:rsidR="00CF3907" w:rsidRDefault="00CF3907">
      <w:r>
        <w:separator/>
      </w:r>
    </w:p>
  </w:endnote>
  <w:endnote w:type="continuationSeparator" w:id="0">
    <w:p w14:paraId="574C9AF7" w14:textId="77777777" w:rsidR="00CF3907" w:rsidRDefault="00CF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35BA7" w14:textId="1DF00991" w:rsidR="002A5A71" w:rsidRPr="000C0CCF" w:rsidRDefault="002A5A71">
    <w:pPr>
      <w:pStyle w:val="af6"/>
      <w:jc w:val="center"/>
      <w:rPr>
        <w:rFonts w:ascii="Times New Roman" w:hAnsi="Times New Roman" w:cs="Times New Roman"/>
      </w:rPr>
    </w:pPr>
  </w:p>
  <w:p w14:paraId="6A86C490" w14:textId="77777777" w:rsidR="002A5A71" w:rsidRDefault="002A5A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E163" w14:textId="77777777" w:rsidR="00CF3907" w:rsidRDefault="00CF3907"/>
  </w:footnote>
  <w:footnote w:type="continuationSeparator" w:id="0">
    <w:p w14:paraId="01B2AB46" w14:textId="77777777" w:rsidR="00CF3907" w:rsidRDefault="00CF39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7E7"/>
    <w:multiLevelType w:val="hybridMultilevel"/>
    <w:tmpl w:val="33C4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39A4"/>
    <w:multiLevelType w:val="hybridMultilevel"/>
    <w:tmpl w:val="D150A1FA"/>
    <w:lvl w:ilvl="0" w:tplc="69869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707919"/>
    <w:multiLevelType w:val="multilevel"/>
    <w:tmpl w:val="FDB46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50850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160F45"/>
    <w:multiLevelType w:val="hybridMultilevel"/>
    <w:tmpl w:val="8508E1E4"/>
    <w:lvl w:ilvl="0" w:tplc="F1B8EA7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D9211E"/>
    <w:multiLevelType w:val="multilevel"/>
    <w:tmpl w:val="6960F2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E14B50"/>
    <w:multiLevelType w:val="multilevel"/>
    <w:tmpl w:val="11B6C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4D727B"/>
    <w:multiLevelType w:val="multilevel"/>
    <w:tmpl w:val="5FA0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F111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33"/>
    <w:rsid w:val="00004494"/>
    <w:rsid w:val="00015F57"/>
    <w:rsid w:val="000175BD"/>
    <w:rsid w:val="00020F0D"/>
    <w:rsid w:val="00022703"/>
    <w:rsid w:val="00023246"/>
    <w:rsid w:val="000235E9"/>
    <w:rsid w:val="00024FC8"/>
    <w:rsid w:val="00043890"/>
    <w:rsid w:val="0004436B"/>
    <w:rsid w:val="0005348C"/>
    <w:rsid w:val="00064EDE"/>
    <w:rsid w:val="00066752"/>
    <w:rsid w:val="0007067B"/>
    <w:rsid w:val="00070D57"/>
    <w:rsid w:val="00071303"/>
    <w:rsid w:val="00075A81"/>
    <w:rsid w:val="00086BBF"/>
    <w:rsid w:val="000870A5"/>
    <w:rsid w:val="00093B84"/>
    <w:rsid w:val="00096E52"/>
    <w:rsid w:val="000A0C15"/>
    <w:rsid w:val="000B0998"/>
    <w:rsid w:val="000B26EB"/>
    <w:rsid w:val="000B768C"/>
    <w:rsid w:val="000B795D"/>
    <w:rsid w:val="000C0CCF"/>
    <w:rsid w:val="000D06CF"/>
    <w:rsid w:val="000D7AA3"/>
    <w:rsid w:val="000E3D1C"/>
    <w:rsid w:val="000E5322"/>
    <w:rsid w:val="000E5607"/>
    <w:rsid w:val="000E68AF"/>
    <w:rsid w:val="000F3FEF"/>
    <w:rsid w:val="000F6459"/>
    <w:rsid w:val="000F68D3"/>
    <w:rsid w:val="00101FB5"/>
    <w:rsid w:val="0010356E"/>
    <w:rsid w:val="001050CC"/>
    <w:rsid w:val="001168A7"/>
    <w:rsid w:val="00124E93"/>
    <w:rsid w:val="00126418"/>
    <w:rsid w:val="00134A0D"/>
    <w:rsid w:val="00136678"/>
    <w:rsid w:val="0014057B"/>
    <w:rsid w:val="00150466"/>
    <w:rsid w:val="0015050F"/>
    <w:rsid w:val="00152697"/>
    <w:rsid w:val="001544E7"/>
    <w:rsid w:val="00154F3C"/>
    <w:rsid w:val="00155E6E"/>
    <w:rsid w:val="00157D76"/>
    <w:rsid w:val="0016177C"/>
    <w:rsid w:val="00162226"/>
    <w:rsid w:val="00162E33"/>
    <w:rsid w:val="00174C69"/>
    <w:rsid w:val="00175E99"/>
    <w:rsid w:val="0018263C"/>
    <w:rsid w:val="0018571D"/>
    <w:rsid w:val="001937F2"/>
    <w:rsid w:val="001A00F8"/>
    <w:rsid w:val="001A0811"/>
    <w:rsid w:val="001B0CCE"/>
    <w:rsid w:val="001C2220"/>
    <w:rsid w:val="001C4EC2"/>
    <w:rsid w:val="001C6996"/>
    <w:rsid w:val="001C7D10"/>
    <w:rsid w:val="001E2AAA"/>
    <w:rsid w:val="001E315E"/>
    <w:rsid w:val="001F2999"/>
    <w:rsid w:val="001F3B6E"/>
    <w:rsid w:val="001F5CC9"/>
    <w:rsid w:val="002013F6"/>
    <w:rsid w:val="002074FA"/>
    <w:rsid w:val="00207773"/>
    <w:rsid w:val="002112A5"/>
    <w:rsid w:val="00214786"/>
    <w:rsid w:val="00220ED0"/>
    <w:rsid w:val="0022556F"/>
    <w:rsid w:val="0023256D"/>
    <w:rsid w:val="002342D4"/>
    <w:rsid w:val="00236679"/>
    <w:rsid w:val="002540F9"/>
    <w:rsid w:val="00260A4E"/>
    <w:rsid w:val="00262BE1"/>
    <w:rsid w:val="00265DA0"/>
    <w:rsid w:val="00266BD2"/>
    <w:rsid w:val="00266F1D"/>
    <w:rsid w:val="002718E7"/>
    <w:rsid w:val="00273E47"/>
    <w:rsid w:val="00277106"/>
    <w:rsid w:val="00280F03"/>
    <w:rsid w:val="00283288"/>
    <w:rsid w:val="002837A4"/>
    <w:rsid w:val="00284052"/>
    <w:rsid w:val="002A2579"/>
    <w:rsid w:val="002A3A23"/>
    <w:rsid w:val="002A4CAD"/>
    <w:rsid w:val="002A4E57"/>
    <w:rsid w:val="002A5A71"/>
    <w:rsid w:val="002A67F1"/>
    <w:rsid w:val="002B481E"/>
    <w:rsid w:val="002B5C18"/>
    <w:rsid w:val="002C49AB"/>
    <w:rsid w:val="002D23F4"/>
    <w:rsid w:val="002D383C"/>
    <w:rsid w:val="002D4FD2"/>
    <w:rsid w:val="002D6B3B"/>
    <w:rsid w:val="002E4F53"/>
    <w:rsid w:val="00306DDF"/>
    <w:rsid w:val="00311C81"/>
    <w:rsid w:val="00314249"/>
    <w:rsid w:val="00323E40"/>
    <w:rsid w:val="00325457"/>
    <w:rsid w:val="00333FE1"/>
    <w:rsid w:val="00337915"/>
    <w:rsid w:val="00351DF6"/>
    <w:rsid w:val="00356BF0"/>
    <w:rsid w:val="00363656"/>
    <w:rsid w:val="00374C78"/>
    <w:rsid w:val="00381913"/>
    <w:rsid w:val="003A1166"/>
    <w:rsid w:val="003A4734"/>
    <w:rsid w:val="003A6099"/>
    <w:rsid w:val="003A7B78"/>
    <w:rsid w:val="003A7EE7"/>
    <w:rsid w:val="003C336C"/>
    <w:rsid w:val="003C520F"/>
    <w:rsid w:val="003D044B"/>
    <w:rsid w:val="003D05A9"/>
    <w:rsid w:val="003D4120"/>
    <w:rsid w:val="003D6B0C"/>
    <w:rsid w:val="003E3F08"/>
    <w:rsid w:val="003F2D54"/>
    <w:rsid w:val="003F3156"/>
    <w:rsid w:val="003F3727"/>
    <w:rsid w:val="003F6FB3"/>
    <w:rsid w:val="004036E2"/>
    <w:rsid w:val="0040640D"/>
    <w:rsid w:val="004136A1"/>
    <w:rsid w:val="00413CFE"/>
    <w:rsid w:val="00414DD1"/>
    <w:rsid w:val="00416289"/>
    <w:rsid w:val="004164BA"/>
    <w:rsid w:val="004177CB"/>
    <w:rsid w:val="00422669"/>
    <w:rsid w:val="00423791"/>
    <w:rsid w:val="004258C7"/>
    <w:rsid w:val="0042643D"/>
    <w:rsid w:val="00443A69"/>
    <w:rsid w:val="00444D28"/>
    <w:rsid w:val="0044661D"/>
    <w:rsid w:val="0045092A"/>
    <w:rsid w:val="00452F3F"/>
    <w:rsid w:val="00455BAD"/>
    <w:rsid w:val="00466060"/>
    <w:rsid w:val="00484261"/>
    <w:rsid w:val="00486A2D"/>
    <w:rsid w:val="00495434"/>
    <w:rsid w:val="004A6C08"/>
    <w:rsid w:val="004B080F"/>
    <w:rsid w:val="004C2B60"/>
    <w:rsid w:val="004C5784"/>
    <w:rsid w:val="004D028B"/>
    <w:rsid w:val="004D6CE7"/>
    <w:rsid w:val="00506485"/>
    <w:rsid w:val="00516A05"/>
    <w:rsid w:val="00524DC5"/>
    <w:rsid w:val="00530258"/>
    <w:rsid w:val="00542AB6"/>
    <w:rsid w:val="005437FB"/>
    <w:rsid w:val="00570161"/>
    <w:rsid w:val="00575F4E"/>
    <w:rsid w:val="00576D60"/>
    <w:rsid w:val="005806ED"/>
    <w:rsid w:val="005811C6"/>
    <w:rsid w:val="00587EF1"/>
    <w:rsid w:val="005963E9"/>
    <w:rsid w:val="005A2B19"/>
    <w:rsid w:val="005B5DC6"/>
    <w:rsid w:val="005C6058"/>
    <w:rsid w:val="005C66AC"/>
    <w:rsid w:val="005C7CC8"/>
    <w:rsid w:val="005E10FB"/>
    <w:rsid w:val="005E6464"/>
    <w:rsid w:val="005E6DB5"/>
    <w:rsid w:val="005F0254"/>
    <w:rsid w:val="005F5F34"/>
    <w:rsid w:val="005F693D"/>
    <w:rsid w:val="00604DAA"/>
    <w:rsid w:val="006107F3"/>
    <w:rsid w:val="00612AD6"/>
    <w:rsid w:val="00613676"/>
    <w:rsid w:val="006139B8"/>
    <w:rsid w:val="00616BCB"/>
    <w:rsid w:val="00631642"/>
    <w:rsid w:val="00633221"/>
    <w:rsid w:val="00636A33"/>
    <w:rsid w:val="0063762E"/>
    <w:rsid w:val="006376BA"/>
    <w:rsid w:val="0064788E"/>
    <w:rsid w:val="00653B71"/>
    <w:rsid w:val="00671F46"/>
    <w:rsid w:val="006739D9"/>
    <w:rsid w:val="00690DD2"/>
    <w:rsid w:val="0069773B"/>
    <w:rsid w:val="006A1BD6"/>
    <w:rsid w:val="006A5EE0"/>
    <w:rsid w:val="006B1504"/>
    <w:rsid w:val="006C0F25"/>
    <w:rsid w:val="006C4E0E"/>
    <w:rsid w:val="006D2A36"/>
    <w:rsid w:val="006D7CB5"/>
    <w:rsid w:val="006E37AB"/>
    <w:rsid w:val="00706D25"/>
    <w:rsid w:val="007314B3"/>
    <w:rsid w:val="00731EDC"/>
    <w:rsid w:val="007424BE"/>
    <w:rsid w:val="00743063"/>
    <w:rsid w:val="0074737E"/>
    <w:rsid w:val="00751209"/>
    <w:rsid w:val="0075246F"/>
    <w:rsid w:val="00756199"/>
    <w:rsid w:val="0076048E"/>
    <w:rsid w:val="007711C8"/>
    <w:rsid w:val="007733C7"/>
    <w:rsid w:val="007835D8"/>
    <w:rsid w:val="00784303"/>
    <w:rsid w:val="00785E36"/>
    <w:rsid w:val="0079467F"/>
    <w:rsid w:val="007A1242"/>
    <w:rsid w:val="007A64D6"/>
    <w:rsid w:val="007B0F32"/>
    <w:rsid w:val="007B38D4"/>
    <w:rsid w:val="007B3B37"/>
    <w:rsid w:val="007B49DE"/>
    <w:rsid w:val="007C231F"/>
    <w:rsid w:val="007D18CF"/>
    <w:rsid w:val="007D2DD9"/>
    <w:rsid w:val="007D4B4F"/>
    <w:rsid w:val="007D6CD0"/>
    <w:rsid w:val="007E1F13"/>
    <w:rsid w:val="007E5790"/>
    <w:rsid w:val="007E5C50"/>
    <w:rsid w:val="007E66A0"/>
    <w:rsid w:val="007E6EFE"/>
    <w:rsid w:val="008063FF"/>
    <w:rsid w:val="008253FB"/>
    <w:rsid w:val="00840D74"/>
    <w:rsid w:val="00840FBD"/>
    <w:rsid w:val="00845F9C"/>
    <w:rsid w:val="00854A54"/>
    <w:rsid w:val="00862D76"/>
    <w:rsid w:val="008647E2"/>
    <w:rsid w:val="0086595D"/>
    <w:rsid w:val="0087220E"/>
    <w:rsid w:val="0087479F"/>
    <w:rsid w:val="00880799"/>
    <w:rsid w:val="00890B2B"/>
    <w:rsid w:val="008A758F"/>
    <w:rsid w:val="008B0241"/>
    <w:rsid w:val="008B6F46"/>
    <w:rsid w:val="008C79FE"/>
    <w:rsid w:val="008D3EFB"/>
    <w:rsid w:val="008D4434"/>
    <w:rsid w:val="008D58D8"/>
    <w:rsid w:val="008E2D6A"/>
    <w:rsid w:val="008E4666"/>
    <w:rsid w:val="008F13EF"/>
    <w:rsid w:val="008F3A8A"/>
    <w:rsid w:val="008F6AC7"/>
    <w:rsid w:val="00910584"/>
    <w:rsid w:val="0092122E"/>
    <w:rsid w:val="00926AAE"/>
    <w:rsid w:val="00932244"/>
    <w:rsid w:val="00933867"/>
    <w:rsid w:val="0093397B"/>
    <w:rsid w:val="00934B5E"/>
    <w:rsid w:val="00937007"/>
    <w:rsid w:val="009566F8"/>
    <w:rsid w:val="0096624A"/>
    <w:rsid w:val="0097210C"/>
    <w:rsid w:val="00972329"/>
    <w:rsid w:val="0098447E"/>
    <w:rsid w:val="00987C5A"/>
    <w:rsid w:val="009A1492"/>
    <w:rsid w:val="009A4AEE"/>
    <w:rsid w:val="009B045A"/>
    <w:rsid w:val="009B0884"/>
    <w:rsid w:val="009B192A"/>
    <w:rsid w:val="009C35D0"/>
    <w:rsid w:val="009C425A"/>
    <w:rsid w:val="009D24B0"/>
    <w:rsid w:val="009D3952"/>
    <w:rsid w:val="009E0D25"/>
    <w:rsid w:val="009E2B6E"/>
    <w:rsid w:val="009E2D78"/>
    <w:rsid w:val="00A143CA"/>
    <w:rsid w:val="00A30BB3"/>
    <w:rsid w:val="00A5744A"/>
    <w:rsid w:val="00A71659"/>
    <w:rsid w:val="00A74435"/>
    <w:rsid w:val="00A82676"/>
    <w:rsid w:val="00A83490"/>
    <w:rsid w:val="00A83A48"/>
    <w:rsid w:val="00A9263B"/>
    <w:rsid w:val="00A95720"/>
    <w:rsid w:val="00A97B58"/>
    <w:rsid w:val="00AA7F30"/>
    <w:rsid w:val="00AB5A77"/>
    <w:rsid w:val="00AC5DCB"/>
    <w:rsid w:val="00AD30EF"/>
    <w:rsid w:val="00AD3325"/>
    <w:rsid w:val="00AD6AC2"/>
    <w:rsid w:val="00AD7A38"/>
    <w:rsid w:val="00AE6CC8"/>
    <w:rsid w:val="00B07C03"/>
    <w:rsid w:val="00B107CA"/>
    <w:rsid w:val="00B15854"/>
    <w:rsid w:val="00B16327"/>
    <w:rsid w:val="00B262E7"/>
    <w:rsid w:val="00B27B6B"/>
    <w:rsid w:val="00B30F81"/>
    <w:rsid w:val="00B337A2"/>
    <w:rsid w:val="00B37D77"/>
    <w:rsid w:val="00B42E54"/>
    <w:rsid w:val="00B450A8"/>
    <w:rsid w:val="00B54392"/>
    <w:rsid w:val="00B6519D"/>
    <w:rsid w:val="00B651C8"/>
    <w:rsid w:val="00B70E88"/>
    <w:rsid w:val="00B7139C"/>
    <w:rsid w:val="00B748AF"/>
    <w:rsid w:val="00B7493C"/>
    <w:rsid w:val="00B76AC4"/>
    <w:rsid w:val="00B80527"/>
    <w:rsid w:val="00B826A4"/>
    <w:rsid w:val="00B82B8F"/>
    <w:rsid w:val="00B865E5"/>
    <w:rsid w:val="00BA40B8"/>
    <w:rsid w:val="00BA52D5"/>
    <w:rsid w:val="00BA682E"/>
    <w:rsid w:val="00BB579D"/>
    <w:rsid w:val="00BC67C6"/>
    <w:rsid w:val="00BD146B"/>
    <w:rsid w:val="00BD1596"/>
    <w:rsid w:val="00BD23AC"/>
    <w:rsid w:val="00BD693E"/>
    <w:rsid w:val="00BE14DD"/>
    <w:rsid w:val="00BE2846"/>
    <w:rsid w:val="00BE3956"/>
    <w:rsid w:val="00BE7187"/>
    <w:rsid w:val="00BE7C8D"/>
    <w:rsid w:val="00BF7379"/>
    <w:rsid w:val="00BF745C"/>
    <w:rsid w:val="00C07E11"/>
    <w:rsid w:val="00C1096E"/>
    <w:rsid w:val="00C11ED2"/>
    <w:rsid w:val="00C15EF2"/>
    <w:rsid w:val="00C200B7"/>
    <w:rsid w:val="00C21E6A"/>
    <w:rsid w:val="00C243EA"/>
    <w:rsid w:val="00C3252A"/>
    <w:rsid w:val="00C35984"/>
    <w:rsid w:val="00C456FC"/>
    <w:rsid w:val="00C47D3E"/>
    <w:rsid w:val="00C56510"/>
    <w:rsid w:val="00C565A9"/>
    <w:rsid w:val="00C571E8"/>
    <w:rsid w:val="00C6282F"/>
    <w:rsid w:val="00C639F6"/>
    <w:rsid w:val="00C63D1A"/>
    <w:rsid w:val="00C75D3E"/>
    <w:rsid w:val="00C81399"/>
    <w:rsid w:val="00C82745"/>
    <w:rsid w:val="00C90A09"/>
    <w:rsid w:val="00C977C9"/>
    <w:rsid w:val="00CA6242"/>
    <w:rsid w:val="00CA62F4"/>
    <w:rsid w:val="00CC3984"/>
    <w:rsid w:val="00CC570F"/>
    <w:rsid w:val="00CD2145"/>
    <w:rsid w:val="00CF3907"/>
    <w:rsid w:val="00CF6126"/>
    <w:rsid w:val="00D1693C"/>
    <w:rsid w:val="00D1786E"/>
    <w:rsid w:val="00D200B3"/>
    <w:rsid w:val="00D207B5"/>
    <w:rsid w:val="00D20A54"/>
    <w:rsid w:val="00D27BF2"/>
    <w:rsid w:val="00D435C4"/>
    <w:rsid w:val="00D4498A"/>
    <w:rsid w:val="00D5027C"/>
    <w:rsid w:val="00D50369"/>
    <w:rsid w:val="00D515F3"/>
    <w:rsid w:val="00D66CF9"/>
    <w:rsid w:val="00D70692"/>
    <w:rsid w:val="00D71AE5"/>
    <w:rsid w:val="00D84749"/>
    <w:rsid w:val="00DA4E5B"/>
    <w:rsid w:val="00DA506E"/>
    <w:rsid w:val="00DB41A5"/>
    <w:rsid w:val="00DB5F74"/>
    <w:rsid w:val="00DC7E00"/>
    <w:rsid w:val="00DD0EC3"/>
    <w:rsid w:val="00DD478E"/>
    <w:rsid w:val="00DF3C8D"/>
    <w:rsid w:val="00DF5582"/>
    <w:rsid w:val="00E00C5A"/>
    <w:rsid w:val="00E019C4"/>
    <w:rsid w:val="00E123B1"/>
    <w:rsid w:val="00E1722D"/>
    <w:rsid w:val="00E23951"/>
    <w:rsid w:val="00E313D0"/>
    <w:rsid w:val="00E32AF1"/>
    <w:rsid w:val="00E36483"/>
    <w:rsid w:val="00E46FC9"/>
    <w:rsid w:val="00E56AC2"/>
    <w:rsid w:val="00E83FDB"/>
    <w:rsid w:val="00E844E7"/>
    <w:rsid w:val="00E87430"/>
    <w:rsid w:val="00E93289"/>
    <w:rsid w:val="00EA752F"/>
    <w:rsid w:val="00EB1BA0"/>
    <w:rsid w:val="00EC6901"/>
    <w:rsid w:val="00ED1621"/>
    <w:rsid w:val="00ED585A"/>
    <w:rsid w:val="00EF4A7E"/>
    <w:rsid w:val="00EF5034"/>
    <w:rsid w:val="00F01E3D"/>
    <w:rsid w:val="00F0589D"/>
    <w:rsid w:val="00F0710B"/>
    <w:rsid w:val="00F24009"/>
    <w:rsid w:val="00F24473"/>
    <w:rsid w:val="00F27F44"/>
    <w:rsid w:val="00F41CE1"/>
    <w:rsid w:val="00F4201B"/>
    <w:rsid w:val="00F4381F"/>
    <w:rsid w:val="00F43BE8"/>
    <w:rsid w:val="00F45EDB"/>
    <w:rsid w:val="00F46844"/>
    <w:rsid w:val="00F5023E"/>
    <w:rsid w:val="00F55F75"/>
    <w:rsid w:val="00F62E05"/>
    <w:rsid w:val="00F72109"/>
    <w:rsid w:val="00F73930"/>
    <w:rsid w:val="00F743BF"/>
    <w:rsid w:val="00F77410"/>
    <w:rsid w:val="00F80E6F"/>
    <w:rsid w:val="00F8116E"/>
    <w:rsid w:val="00F81C30"/>
    <w:rsid w:val="00F8409A"/>
    <w:rsid w:val="00F9300E"/>
    <w:rsid w:val="00F9322C"/>
    <w:rsid w:val="00F95E95"/>
    <w:rsid w:val="00FA40E7"/>
    <w:rsid w:val="00FA69A8"/>
    <w:rsid w:val="00FB365C"/>
    <w:rsid w:val="00FB581F"/>
    <w:rsid w:val="00FC1F47"/>
    <w:rsid w:val="00FC6B4E"/>
    <w:rsid w:val="00FD0368"/>
    <w:rsid w:val="00FD2EDA"/>
    <w:rsid w:val="00FD7E04"/>
    <w:rsid w:val="00FE5720"/>
    <w:rsid w:val="00FE5B14"/>
    <w:rsid w:val="00FE7D09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42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456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right="580"/>
      <w:jc w:val="right"/>
    </w:pPr>
    <w:rPr>
      <w:rFonts w:ascii="Arial" w:eastAsia="Arial" w:hAnsi="Arial" w:cs="Arial"/>
      <w:color w:val="303033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535456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0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49A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C49AB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uiPriority w:val="99"/>
    <w:semiHidden/>
    <w:unhideWhenUsed/>
    <w:rsid w:val="009B088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0884"/>
    <w:rPr>
      <w:color w:val="000000"/>
    </w:rPr>
  </w:style>
  <w:style w:type="paragraph" w:styleId="af0">
    <w:name w:val="List Paragraph"/>
    <w:basedOn w:val="a"/>
    <w:uiPriority w:val="34"/>
    <w:qFormat/>
    <w:rsid w:val="000B76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0B768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468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4684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46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5A81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6C0F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0F25"/>
    <w:rPr>
      <w:color w:val="000000"/>
      <w:sz w:val="16"/>
      <w:szCs w:val="16"/>
    </w:rPr>
  </w:style>
  <w:style w:type="paragraph" w:styleId="23">
    <w:name w:val="Body Text 2"/>
    <w:basedOn w:val="a"/>
    <w:link w:val="24"/>
    <w:rsid w:val="00E844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E844E7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5">
    <w:name w:val="Table Grid"/>
    <w:basedOn w:val="a1"/>
    <w:uiPriority w:val="59"/>
    <w:rsid w:val="00F7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0C0CCF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0C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03033"/>
      <w:sz w:val="48"/>
      <w:szCs w:val="4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456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F1117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60"/>
      <w:ind w:right="580"/>
      <w:jc w:val="right"/>
    </w:pPr>
    <w:rPr>
      <w:rFonts w:ascii="Arial" w:eastAsia="Arial" w:hAnsi="Arial" w:cs="Arial"/>
      <w:color w:val="303033"/>
      <w:sz w:val="48"/>
      <w:szCs w:val="4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0F1117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color w:val="535456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0F1117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E0D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D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C49A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C49AB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uiPriority w:val="99"/>
    <w:semiHidden/>
    <w:unhideWhenUsed/>
    <w:rsid w:val="009B088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0884"/>
    <w:rPr>
      <w:color w:val="000000"/>
    </w:rPr>
  </w:style>
  <w:style w:type="paragraph" w:styleId="af0">
    <w:name w:val="List Paragraph"/>
    <w:basedOn w:val="a"/>
    <w:uiPriority w:val="34"/>
    <w:qFormat/>
    <w:rsid w:val="000B76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0B768C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468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4684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46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5A81"/>
    <w:rPr>
      <w:color w:val="605E5C"/>
      <w:shd w:val="clear" w:color="auto" w:fill="E1DFDD"/>
    </w:rPr>
  </w:style>
  <w:style w:type="paragraph" w:styleId="3">
    <w:name w:val="Body Text 3"/>
    <w:basedOn w:val="a"/>
    <w:link w:val="30"/>
    <w:uiPriority w:val="99"/>
    <w:semiHidden/>
    <w:unhideWhenUsed/>
    <w:rsid w:val="006C0F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0F25"/>
    <w:rPr>
      <w:color w:val="000000"/>
      <w:sz w:val="16"/>
      <w:szCs w:val="16"/>
    </w:rPr>
  </w:style>
  <w:style w:type="paragraph" w:styleId="23">
    <w:name w:val="Body Text 2"/>
    <w:basedOn w:val="a"/>
    <w:link w:val="24"/>
    <w:rsid w:val="00E844E7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E844E7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5">
    <w:name w:val="Table Grid"/>
    <w:basedOn w:val="a1"/>
    <w:uiPriority w:val="59"/>
    <w:rsid w:val="00F7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0C0CCF"/>
    <w:pPr>
      <w:tabs>
        <w:tab w:val="center" w:pos="4536"/>
        <w:tab w:val="right" w:pos="9072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0C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управления туризмом</dc:creator>
  <cp:lastModifiedBy>Каф. управления туризмом</cp:lastModifiedBy>
  <cp:revision>2</cp:revision>
  <cp:lastPrinted>2023-11-24T12:00:00Z</cp:lastPrinted>
  <dcterms:created xsi:type="dcterms:W3CDTF">2025-05-02T10:44:00Z</dcterms:created>
  <dcterms:modified xsi:type="dcterms:W3CDTF">2025-05-02T10:44:00Z</dcterms:modified>
</cp:coreProperties>
</file>