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9495" w14:textId="77777777" w:rsidR="0054077C" w:rsidRPr="003B25F4" w:rsidRDefault="00EF0D9A" w:rsidP="00CA08FE">
      <w:pPr>
        <w:spacing w:after="0" w:line="270" w:lineRule="exact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МЕТОДИЧЕСКИЕ РЕКОМЕНДАЦИИ </w:t>
      </w:r>
    </w:p>
    <w:p w14:paraId="62E89637" w14:textId="77777777" w:rsidR="0054077C" w:rsidRPr="003B25F4" w:rsidRDefault="00EF0D9A" w:rsidP="00CA08FE">
      <w:pPr>
        <w:spacing w:after="0" w:line="270" w:lineRule="exact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 ИЗУЧЕНИЮ</w:t>
      </w:r>
      <w:r w:rsidR="009946C6"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УЧЕБНОЙ ДИСЦИПЛИНЫ </w:t>
      </w:r>
    </w:p>
    <w:p w14:paraId="2C77FC05" w14:textId="6394EA2C" w:rsidR="00EF0D9A" w:rsidRPr="003B25F4" w:rsidRDefault="00EF0D9A" w:rsidP="00CA08FE">
      <w:pPr>
        <w:spacing w:after="0" w:line="270" w:lineRule="exact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</w:t>
      </w:r>
      <w:r w:rsidR="009946C6"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ОРГАНИЗАЦИЯ РАБОТЫ ГОСУДАРСТВЕННОГО АППАРАТА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» </w:t>
      </w:r>
    </w:p>
    <w:p w14:paraId="120C03CA" w14:textId="77777777" w:rsidR="00EF0D9A" w:rsidRPr="003B25F4" w:rsidRDefault="00EF0D9A" w:rsidP="00CA08FE">
      <w:pPr>
        <w:spacing w:after="0" w:line="270" w:lineRule="exact"/>
        <w:ind w:firstLine="709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14:paraId="71FA2A28" w14:textId="3AD26909" w:rsidR="00EF0D9A" w:rsidRPr="003B25F4" w:rsidRDefault="00EF0D9A" w:rsidP="00CA08FE">
      <w:pPr>
        <w:spacing w:after="0" w:line="270" w:lineRule="exact"/>
        <w:contextualSpacing/>
        <w:jc w:val="center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Составитель: </w:t>
      </w:r>
      <w:r w:rsidR="009946C6"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</w:t>
      </w:r>
      <w:r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9946C6"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</w:t>
      </w:r>
      <w:r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proofErr w:type="spellStart"/>
      <w:r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</w:t>
      </w:r>
      <w:r w:rsidR="009946C6"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остиневич</w:t>
      </w:r>
      <w:proofErr w:type="spellEnd"/>
      <w:r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кандидат </w:t>
      </w:r>
      <w:r w:rsidR="009946C6"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политических</w:t>
      </w:r>
      <w:r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наук, </w:t>
      </w:r>
      <w:r w:rsidR="009946C6"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ассистент</w:t>
      </w:r>
      <w:r w:rsidRPr="003B25F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кафедры политологии Белорусского государственного экономического университета </w:t>
      </w:r>
    </w:p>
    <w:p w14:paraId="25302F34" w14:textId="77777777" w:rsidR="006D3B11" w:rsidRPr="003B25F4" w:rsidRDefault="006D3B11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14:paraId="448F9C4E" w14:textId="0C64C827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Цел</w:t>
      </w:r>
      <w:r w:rsidR="009946C6"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преподавания учебной дисциплины «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 работы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»: 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обучающихся системного мышления об особенностях функционирования государственного аппарата как в Республике Беларусь, так и в других государствах; формирование навыков решения проблем политической и социальной безопасности с использованием современных механизмов и технологий государственного управления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546C41F0" w14:textId="77777777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Задачи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учебной дисциплины:</w:t>
      </w:r>
    </w:p>
    <w:p w14:paraId="55909B1A" w14:textId="77777777" w:rsidR="009946C6" w:rsidRPr="003B25F4" w:rsidRDefault="009946C6" w:rsidP="00CA08FE">
      <w:pPr>
        <w:pStyle w:val="a7"/>
        <w:numPr>
          <w:ilvl w:val="0"/>
          <w:numId w:val="1"/>
        </w:numPr>
        <w:tabs>
          <w:tab w:val="left" w:pos="709"/>
        </w:tabs>
        <w:spacing w:line="270" w:lineRule="exact"/>
        <w:ind w:left="0" w:firstLine="426"/>
        <w:rPr>
          <w:rFonts w:cs="Times New Roman"/>
          <w:color w:val="404040" w:themeColor="text1" w:themeTint="BF"/>
          <w:szCs w:val="28"/>
          <w:lang w:val="ru-RU"/>
        </w:rPr>
      </w:pPr>
      <w:r w:rsidRPr="003B25F4">
        <w:rPr>
          <w:rFonts w:cs="Times New Roman"/>
          <w:color w:val="404040" w:themeColor="text1" w:themeTint="BF"/>
          <w:szCs w:val="28"/>
          <w:lang w:val="ru-RU"/>
        </w:rPr>
        <w:t xml:space="preserve">рассмотреть особенности функционирования государственного управления в Республике Беларусь; </w:t>
      </w:r>
    </w:p>
    <w:p w14:paraId="279B1687" w14:textId="77777777" w:rsidR="009946C6" w:rsidRPr="003B25F4" w:rsidRDefault="009946C6" w:rsidP="00CA08FE">
      <w:pPr>
        <w:pStyle w:val="a7"/>
        <w:numPr>
          <w:ilvl w:val="0"/>
          <w:numId w:val="1"/>
        </w:numPr>
        <w:tabs>
          <w:tab w:val="left" w:pos="709"/>
        </w:tabs>
        <w:spacing w:line="270" w:lineRule="exact"/>
        <w:ind w:left="0" w:firstLine="426"/>
        <w:rPr>
          <w:rFonts w:cs="Times New Roman"/>
          <w:color w:val="404040" w:themeColor="text1" w:themeTint="BF"/>
          <w:szCs w:val="28"/>
          <w:lang w:val="ru-RU"/>
        </w:rPr>
      </w:pPr>
      <w:r w:rsidRPr="003B25F4">
        <w:rPr>
          <w:rFonts w:cs="Times New Roman"/>
          <w:color w:val="404040" w:themeColor="text1" w:themeTint="BF"/>
          <w:szCs w:val="28"/>
          <w:lang w:val="ru-RU"/>
        </w:rPr>
        <w:t xml:space="preserve">раскрыть организационную структуру государственного управления Республики Беларусь; </w:t>
      </w:r>
    </w:p>
    <w:p w14:paraId="03BC09F8" w14:textId="77777777" w:rsidR="009946C6" w:rsidRPr="003B25F4" w:rsidRDefault="009946C6" w:rsidP="00CA08FE">
      <w:pPr>
        <w:pStyle w:val="a7"/>
        <w:numPr>
          <w:ilvl w:val="0"/>
          <w:numId w:val="1"/>
        </w:numPr>
        <w:tabs>
          <w:tab w:val="left" w:pos="709"/>
        </w:tabs>
        <w:spacing w:line="270" w:lineRule="exact"/>
        <w:ind w:left="0" w:firstLine="426"/>
        <w:rPr>
          <w:rFonts w:cs="Times New Roman"/>
          <w:color w:val="404040" w:themeColor="text1" w:themeTint="BF"/>
          <w:szCs w:val="28"/>
          <w:lang w:val="ru-RU"/>
        </w:rPr>
      </w:pPr>
      <w:r w:rsidRPr="003B25F4">
        <w:rPr>
          <w:rFonts w:cs="Times New Roman"/>
          <w:color w:val="404040" w:themeColor="text1" w:themeTint="BF"/>
          <w:szCs w:val="28"/>
          <w:lang w:val="ru-RU"/>
        </w:rPr>
        <w:t>раскрыть особенности функционирования государственного аппарата при различных формах государственного устройства и формах правления;</w:t>
      </w:r>
    </w:p>
    <w:p w14:paraId="5FD72929" w14:textId="77777777" w:rsidR="009946C6" w:rsidRPr="003B25F4" w:rsidRDefault="009946C6" w:rsidP="00CA08FE">
      <w:pPr>
        <w:pStyle w:val="a7"/>
        <w:numPr>
          <w:ilvl w:val="0"/>
          <w:numId w:val="1"/>
        </w:numPr>
        <w:tabs>
          <w:tab w:val="left" w:pos="709"/>
        </w:tabs>
        <w:spacing w:line="270" w:lineRule="exact"/>
        <w:ind w:left="0" w:firstLine="426"/>
        <w:rPr>
          <w:rFonts w:cs="Times New Roman"/>
          <w:color w:val="404040" w:themeColor="text1" w:themeTint="BF"/>
          <w:szCs w:val="28"/>
          <w:lang w:val="ru-RU"/>
        </w:rPr>
      </w:pPr>
      <w:r w:rsidRPr="003B25F4">
        <w:rPr>
          <w:rFonts w:cs="Times New Roman"/>
          <w:color w:val="404040" w:themeColor="text1" w:themeTint="BF"/>
          <w:szCs w:val="28"/>
          <w:lang w:val="ru-RU"/>
        </w:rPr>
        <w:t>обеспечить овладение базовыми приемами применения управленческих технологий и различных методов управления;</w:t>
      </w:r>
    </w:p>
    <w:p w14:paraId="5C530154" w14:textId="77777777" w:rsidR="009946C6" w:rsidRPr="003B25F4" w:rsidRDefault="009946C6" w:rsidP="00CA08FE">
      <w:pPr>
        <w:pStyle w:val="a7"/>
        <w:numPr>
          <w:ilvl w:val="0"/>
          <w:numId w:val="1"/>
        </w:numPr>
        <w:tabs>
          <w:tab w:val="left" w:pos="709"/>
        </w:tabs>
        <w:spacing w:line="270" w:lineRule="exact"/>
        <w:ind w:left="0" w:firstLine="426"/>
        <w:rPr>
          <w:rFonts w:cs="Times New Roman"/>
          <w:color w:val="404040" w:themeColor="text1" w:themeTint="BF"/>
          <w:szCs w:val="28"/>
          <w:lang w:val="ru-RU"/>
        </w:rPr>
      </w:pPr>
      <w:r w:rsidRPr="003B25F4">
        <w:rPr>
          <w:rFonts w:cs="Times New Roman"/>
          <w:color w:val="404040" w:themeColor="text1" w:themeTint="BF"/>
          <w:szCs w:val="28"/>
          <w:lang w:val="ru-RU"/>
        </w:rPr>
        <w:t>определить сущность государственной службы и особенности кадровой политики и управления персоналом на современном этапе развития государственного управления;</w:t>
      </w:r>
    </w:p>
    <w:p w14:paraId="05DC3C24" w14:textId="77777777" w:rsidR="009946C6" w:rsidRPr="003B25F4" w:rsidRDefault="009946C6" w:rsidP="00CA08FE">
      <w:pPr>
        <w:pStyle w:val="a7"/>
        <w:numPr>
          <w:ilvl w:val="0"/>
          <w:numId w:val="1"/>
        </w:numPr>
        <w:tabs>
          <w:tab w:val="left" w:pos="709"/>
        </w:tabs>
        <w:spacing w:line="270" w:lineRule="exact"/>
        <w:ind w:left="0" w:firstLine="426"/>
        <w:rPr>
          <w:rFonts w:cs="Times New Roman"/>
          <w:color w:val="404040" w:themeColor="text1" w:themeTint="BF"/>
          <w:szCs w:val="28"/>
          <w:lang w:val="ru-RU"/>
        </w:rPr>
      </w:pPr>
      <w:r w:rsidRPr="003B25F4">
        <w:rPr>
          <w:rFonts w:cs="Times New Roman"/>
          <w:color w:val="404040" w:themeColor="text1" w:themeTint="BF"/>
          <w:szCs w:val="28"/>
          <w:lang w:val="ru-RU"/>
        </w:rPr>
        <w:t>сформировать навыки принятия решений и оценки эффективности управленческих решений;</w:t>
      </w:r>
    </w:p>
    <w:p w14:paraId="74092C06" w14:textId="4A64534B" w:rsidR="009946C6" w:rsidRPr="003B25F4" w:rsidRDefault="009946C6" w:rsidP="00CA08FE">
      <w:pPr>
        <w:pStyle w:val="a7"/>
        <w:numPr>
          <w:ilvl w:val="0"/>
          <w:numId w:val="1"/>
        </w:numPr>
        <w:tabs>
          <w:tab w:val="left" w:pos="709"/>
        </w:tabs>
        <w:spacing w:line="270" w:lineRule="exact"/>
        <w:ind w:left="0" w:firstLine="426"/>
        <w:rPr>
          <w:rFonts w:cs="Times New Roman"/>
          <w:color w:val="404040" w:themeColor="text1" w:themeTint="BF"/>
          <w:szCs w:val="28"/>
          <w:lang w:val="ru-RU"/>
        </w:rPr>
      </w:pPr>
      <w:r w:rsidRPr="003B25F4">
        <w:rPr>
          <w:rFonts w:cs="Times New Roman"/>
          <w:color w:val="404040" w:themeColor="text1" w:themeTint="BF"/>
          <w:szCs w:val="28"/>
        </w:rPr>
        <w:t>обеспечить возможность дальнейшего самообразования в области государственного управления, являющейся важнейшей частью политического знания.</w:t>
      </w:r>
    </w:p>
    <w:p w14:paraId="02F1DF3B" w14:textId="44F2E76E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процессе освоения данной учебной дисциплины студенты приобретают знания, умения и навыки, которые являются неотъемлемым компонентом их профессиональной подготовки. Благодаря освоению учебной дисциплины «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 работы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студенты смогут 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понять особенности устройства и деятельности государственного аппарата, процесс формирования и пути совершенствования его работы, выявлять проблемы его функционирования и пути их разрешения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Учебная дисциплина «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 работы государственного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 связана с учебными дисциплинами «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Теория государственного управления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», «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Теория политики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», «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Система правления в Республике Беларусь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», «Конституционное право»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«Общественная политика», «Менеджмент»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14:paraId="140D945B" w14:textId="455DB9CB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результате изучения учебной дисциплины «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 работы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формируется ряд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компетенций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Специалист должен: </w:t>
      </w:r>
    </w:p>
    <w:p w14:paraId="68012A32" w14:textId="0D781DCF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анализировать структуру и функции 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14:paraId="0FBCA76B" w14:textId="707095FB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="00CA08FE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</w:t>
      </w:r>
      <w:r w:rsidR="009946C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вырабатывать рекомендации по совершенствованию работы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14:paraId="536F72E3" w14:textId="556A186C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="00BB646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осуществлять прогнозы развития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75973F16" w14:textId="77777777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результате изучения учебной дисциплины студент должен:</w:t>
      </w:r>
    </w:p>
    <w:p w14:paraId="465C19EA" w14:textId="77777777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знать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14:paraId="62E88CD2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классические и современные теоретико-методологические подходы к </w:t>
      </w:r>
      <w:r w:rsidRPr="003B25F4">
        <w:rPr>
          <w:color w:val="404040" w:themeColor="text1" w:themeTint="BF"/>
          <w:sz w:val="28"/>
          <w:szCs w:val="28"/>
          <w:lang w:val="ru-RU"/>
        </w:rPr>
        <w:t>пониманию работы государственного аппарата</w:t>
      </w:r>
      <w:r w:rsidRPr="003B25F4">
        <w:rPr>
          <w:color w:val="404040" w:themeColor="text1" w:themeTint="BF"/>
          <w:sz w:val="28"/>
          <w:szCs w:val="28"/>
        </w:rPr>
        <w:t>;</w:t>
      </w:r>
    </w:p>
    <w:p w14:paraId="0E6F45F5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>общие функции, формы и методы государственного управления</w:t>
      </w:r>
      <w:r w:rsidRPr="003B25F4">
        <w:rPr>
          <w:color w:val="404040" w:themeColor="text1" w:themeTint="BF"/>
          <w:sz w:val="28"/>
          <w:szCs w:val="28"/>
          <w:lang w:val="ru-RU"/>
        </w:rPr>
        <w:t>;</w:t>
      </w:r>
    </w:p>
    <w:p w14:paraId="5DDB9088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>причины возникновения, сущность и базовые принципы функционирования государственного управления;</w:t>
      </w:r>
    </w:p>
    <w:p w14:paraId="4B44AB04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lastRenderedPageBreak/>
        <w:t>важнейшие функции государственного управления и показатели его эффективности;</w:t>
      </w:r>
    </w:p>
    <w:p w14:paraId="24618ABA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>современные практики государственного управления и их особенности в различных странах</w:t>
      </w:r>
      <w:r w:rsidRPr="003B25F4">
        <w:rPr>
          <w:color w:val="404040" w:themeColor="text1" w:themeTint="BF"/>
          <w:sz w:val="28"/>
          <w:szCs w:val="28"/>
          <w:lang w:val="ru-RU"/>
        </w:rPr>
        <w:t>;</w:t>
      </w:r>
    </w:p>
    <w:p w14:paraId="76BD13A0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>статус государственной службы и государственных служащих;</w:t>
      </w:r>
    </w:p>
    <w:p w14:paraId="5863AA08" w14:textId="2B870AFB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>понятие, основное назначение и виды способов обеспечения</w:t>
      </w:r>
      <w:r w:rsidRPr="003B25F4">
        <w:rPr>
          <w:color w:val="404040" w:themeColor="text1" w:themeTint="BF"/>
          <w:sz w:val="28"/>
          <w:szCs w:val="28"/>
          <w:lang w:val="ru-RU"/>
        </w:rPr>
        <w:t xml:space="preserve"> </w:t>
      </w:r>
      <w:r w:rsidRPr="003B25F4">
        <w:rPr>
          <w:color w:val="404040" w:themeColor="text1" w:themeTint="BF"/>
          <w:sz w:val="28"/>
          <w:szCs w:val="28"/>
        </w:rPr>
        <w:t xml:space="preserve">законности и дисциплины в государственном управлении; </w:t>
      </w:r>
    </w:p>
    <w:p w14:paraId="660DC034" w14:textId="19EDF1D8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уметь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14:paraId="5A3AE4D6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проводить самостоятельные исследования в области государственного управления; </w:t>
      </w:r>
    </w:p>
    <w:p w14:paraId="2069CD98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применять полученные знания с целью эффективного решения управленческих задач; </w:t>
      </w:r>
    </w:p>
    <w:p w14:paraId="1601109F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раскрывать суть государственного управления как взаимосвязанной сферы политической и административной деятельности; </w:t>
      </w:r>
    </w:p>
    <w:p w14:paraId="41E7536B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интерпретировать различные концепции и модели государственного управления; </w:t>
      </w:r>
    </w:p>
    <w:p w14:paraId="6277F76D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>анализировать программы и стратегии различных субъектов государственного управления и давать им оценку с позиций эффективности;</w:t>
      </w:r>
    </w:p>
    <w:p w14:paraId="2F5BFC59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>определять систему органов государственного управления и их</w:t>
      </w:r>
      <w:r w:rsidRPr="003B25F4">
        <w:rPr>
          <w:color w:val="404040" w:themeColor="text1" w:themeTint="BF"/>
          <w:sz w:val="28"/>
          <w:szCs w:val="28"/>
          <w:lang w:val="ru-RU"/>
        </w:rPr>
        <w:t xml:space="preserve"> </w:t>
      </w:r>
      <w:r w:rsidRPr="003B25F4">
        <w:rPr>
          <w:color w:val="404040" w:themeColor="text1" w:themeTint="BF"/>
          <w:sz w:val="28"/>
          <w:szCs w:val="28"/>
        </w:rPr>
        <w:t xml:space="preserve">компетенцию в различных сферах и областях государственного управления; </w:t>
      </w:r>
    </w:p>
    <w:p w14:paraId="76EC9D73" w14:textId="77777777" w:rsidR="00BB6466" w:rsidRPr="003B25F4" w:rsidRDefault="00BB6466" w:rsidP="00CA08FE">
      <w:pPr>
        <w:pStyle w:val="Default"/>
        <w:numPr>
          <w:ilvl w:val="0"/>
          <w:numId w:val="2"/>
        </w:numPr>
        <w:tabs>
          <w:tab w:val="left" w:pos="709"/>
        </w:tabs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характеризовать особенности функционирования государственного управления в различных сферах жизнедеятельности общества; </w:t>
      </w:r>
    </w:p>
    <w:p w14:paraId="23AC56A6" w14:textId="77777777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владеть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14:paraId="2EF62591" w14:textId="77777777" w:rsidR="00BB6466" w:rsidRPr="003B25F4" w:rsidRDefault="00BB6466" w:rsidP="00CA08FE">
      <w:pPr>
        <w:pStyle w:val="Default"/>
        <w:numPr>
          <w:ilvl w:val="0"/>
          <w:numId w:val="2"/>
        </w:numPr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методиками проведения теоретических и прикладных исследований в сфере государственного управления; </w:t>
      </w:r>
    </w:p>
    <w:p w14:paraId="340BF9FA" w14:textId="77777777" w:rsidR="00BB6466" w:rsidRPr="003B25F4" w:rsidRDefault="00BB6466" w:rsidP="00CA08FE">
      <w:pPr>
        <w:pStyle w:val="Default"/>
        <w:numPr>
          <w:ilvl w:val="0"/>
          <w:numId w:val="2"/>
        </w:numPr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навыками подготовки по результатам научно-исследовательской работы научных публикаций, предложений и аналитических докладов для государственных органов; </w:t>
      </w:r>
    </w:p>
    <w:p w14:paraId="4A81BE8A" w14:textId="77777777" w:rsidR="00BB6466" w:rsidRPr="003B25F4" w:rsidRDefault="00BB6466" w:rsidP="00CA08FE">
      <w:pPr>
        <w:pStyle w:val="Default"/>
        <w:numPr>
          <w:ilvl w:val="0"/>
          <w:numId w:val="2"/>
        </w:numPr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навыками отбора и проектирования вариантов политических решений и процедур выработки государственной политики; </w:t>
      </w:r>
    </w:p>
    <w:p w14:paraId="6E77A25A" w14:textId="77777777" w:rsidR="00BB6466" w:rsidRPr="003B25F4" w:rsidRDefault="00BB6466" w:rsidP="00CA08FE">
      <w:pPr>
        <w:pStyle w:val="Default"/>
        <w:numPr>
          <w:ilvl w:val="0"/>
          <w:numId w:val="2"/>
        </w:numPr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базовыми приемами применения управленческих технологий; </w:t>
      </w:r>
    </w:p>
    <w:p w14:paraId="7E9C37F3" w14:textId="77777777" w:rsidR="00BB6466" w:rsidRPr="003B25F4" w:rsidRDefault="00BB6466" w:rsidP="00CA08FE">
      <w:pPr>
        <w:pStyle w:val="Default"/>
        <w:numPr>
          <w:ilvl w:val="0"/>
          <w:numId w:val="2"/>
        </w:numPr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способностью самостоятельно анализировать социально-политические процессы, факторы окружения государственного управления, его функционирования в системе «вызов-ответ», в системе прямых и обратных связей с общественной системой; </w:t>
      </w:r>
    </w:p>
    <w:p w14:paraId="4A1B5CCA" w14:textId="77777777" w:rsidR="00BB6466" w:rsidRPr="003B25F4" w:rsidRDefault="00BB6466" w:rsidP="00CA08FE">
      <w:pPr>
        <w:pStyle w:val="Default"/>
        <w:numPr>
          <w:ilvl w:val="0"/>
          <w:numId w:val="2"/>
        </w:numPr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 xml:space="preserve">навыками анализа графиков, инструкций, планов, заявок, программ и проектов, а также иных информационных данных; </w:t>
      </w:r>
    </w:p>
    <w:p w14:paraId="16C3806F" w14:textId="77777777" w:rsidR="00BB6466" w:rsidRPr="003B25F4" w:rsidRDefault="00BB6466" w:rsidP="00CA08FE">
      <w:pPr>
        <w:pStyle w:val="Default"/>
        <w:numPr>
          <w:ilvl w:val="0"/>
          <w:numId w:val="2"/>
        </w:numPr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</w:rPr>
        <w:t>навыками сбора, обработки, обобщения и анализа необходимой информации</w:t>
      </w:r>
      <w:r w:rsidRPr="003B25F4">
        <w:rPr>
          <w:color w:val="404040" w:themeColor="text1" w:themeTint="BF"/>
          <w:sz w:val="28"/>
          <w:szCs w:val="28"/>
          <w:lang w:val="ru-RU"/>
        </w:rPr>
        <w:t>;</w:t>
      </w:r>
    </w:p>
    <w:p w14:paraId="6522EE00" w14:textId="77777777" w:rsidR="00BB6466" w:rsidRPr="003B25F4" w:rsidRDefault="00BB6466" w:rsidP="00CA08FE">
      <w:pPr>
        <w:pStyle w:val="Default"/>
        <w:numPr>
          <w:ilvl w:val="0"/>
          <w:numId w:val="2"/>
        </w:numPr>
        <w:spacing w:line="270" w:lineRule="exact"/>
        <w:ind w:left="0" w:firstLine="426"/>
        <w:jc w:val="both"/>
        <w:rPr>
          <w:color w:val="404040" w:themeColor="text1" w:themeTint="BF"/>
          <w:sz w:val="28"/>
          <w:szCs w:val="28"/>
        </w:rPr>
      </w:pPr>
      <w:r w:rsidRPr="003B25F4">
        <w:rPr>
          <w:color w:val="404040" w:themeColor="text1" w:themeTint="BF"/>
          <w:sz w:val="28"/>
          <w:szCs w:val="28"/>
          <w:lang w:val="ru-RU"/>
        </w:rPr>
        <w:t>навыками работы с обращениями граждан</w:t>
      </w:r>
      <w:r w:rsidRPr="003B25F4">
        <w:rPr>
          <w:color w:val="404040" w:themeColor="text1" w:themeTint="BF"/>
          <w:sz w:val="28"/>
          <w:szCs w:val="28"/>
        </w:rPr>
        <w:t xml:space="preserve">. </w:t>
      </w:r>
    </w:p>
    <w:p w14:paraId="3D31E39D" w14:textId="77777777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3DF5D40E" w14:textId="06EE1BC0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Учебная дисциплина «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 работы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 изучается студентами дневной формы получения высшего образования.</w:t>
      </w:r>
    </w:p>
    <w:p w14:paraId="1AD4E4A5" w14:textId="1D5F0926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Всего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часов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учебной дисциплине «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 работы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–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4, из них всего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часов аудиторных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48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в том числе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0 часов –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лекции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28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час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ов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семинарские занятия.</w:t>
      </w:r>
    </w:p>
    <w:p w14:paraId="74545352" w14:textId="45895B10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Форма текущей аттестации по учебной дисциплине «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 работы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–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зачет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620D78A2" w14:textId="31FE20BA" w:rsidR="00EF0D9A" w:rsidRPr="003B25F4" w:rsidRDefault="00EF0D9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подготовке к зачету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учебной дисциплине «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 работы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необходимо, прежде всего, обратить внимание на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 формирования и функционирования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Усвоение студентами ключевых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принципов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помогает им формировать политическую культуру, повышать уровень своего политического образования, формировать политическое сознание,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иметь ясное представление об особенностях работы государственного аппарата и осуществления государственной политики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39D9C4D4" w14:textId="3752B0E9" w:rsidR="00EF0D9A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Для студента важно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правильно интерпретировать теоретические концепции, знать особенности их применимости на практике, условия, при которых они могут объективно отражать протекающие процессы</w:t>
      </w:r>
      <w:r w:rsidR="00EF0D9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Нужно также помнить, что учебная информация поддается запоминанию только 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 условии грамотного использования студентом</w:t>
      </w:r>
      <w:r w:rsidR="00EF0D9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определенных учебно-методических средств и приемов. К примеру, информационный минимум по 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учебной дисциплине</w:t>
      </w:r>
      <w:r w:rsidR="00EF0D9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содержится в 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учебной </w:t>
      </w:r>
      <w:r w:rsidR="00EF0D9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программе курса, которая должна обязательно лежать на столе 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студента, сдающего зачет</w:t>
      </w:r>
      <w:r w:rsidR="00EF0D9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Студенту следует мак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симально использовать сведения,</w:t>
      </w:r>
      <w:r w:rsidR="00EF0D9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которые содержит данная программа. Это обеспечит правильную ориентацию в вопросах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зачета</w:t>
      </w:r>
      <w:r w:rsidR="00EF0D9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14:paraId="7260DB05" w14:textId="77777777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Следует выделить следующие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критерии оценок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которыми обычно руководствуются на зачете преподаватели:</w:t>
      </w:r>
    </w:p>
    <w:p w14:paraId="08BF3F23" w14:textId="77777777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четкое, верное, глубокое изложение основных понятий, идей, фактов;</w:t>
      </w:r>
    </w:p>
    <w:p w14:paraId="2BE5DFFB" w14:textId="77777777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лаконичность и предельная полнота ответа;</w:t>
      </w:r>
    </w:p>
    <w:p w14:paraId="2CCE77DA" w14:textId="77777777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степень использования научных и нормативных источников;</w:t>
      </w:r>
    </w:p>
    <w:p w14:paraId="07D8AD9B" w14:textId="77777777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умение связывать теорию с практикой, применять свои знания в конкретных ситуациях;</w:t>
      </w:r>
    </w:p>
    <w:p w14:paraId="1E88CAC2" w14:textId="7A59A425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аргументированность, системность, логичность изложения материала;</w:t>
      </w:r>
    </w:p>
    <w:p w14:paraId="00D737D7" w14:textId="77777777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привидение примеров, использование аналогий, свое видение проблем и явлений;</w:t>
      </w:r>
    </w:p>
    <w:p w14:paraId="5B85F1E5" w14:textId="77777777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культура речи; </w:t>
      </w:r>
    </w:p>
    <w:p w14:paraId="3C9DC046" w14:textId="77777777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работа на семинарских занятиях.</w:t>
      </w:r>
    </w:p>
    <w:p w14:paraId="0AE619D2" w14:textId="77777777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 подготовке ответов на вопросы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семинарских занятий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студенту необходимо изучить и обобщить информацию, представленную в нормативных правовых актах, исследованиях отечественных и зарубежных ученых. Качество подготовки студента во многом зависит от его умения пользоваться источниками информации. В ЭУМК приведен список рекомендованной литературы к каждому из семинарских занятий, однако студент может осуществлять поиск информации и в других источниках. При подготовке ответов к семинарским занятиям желательно готовить мультимедийные презентации.</w:t>
      </w:r>
    </w:p>
    <w:p w14:paraId="38793F58" w14:textId="3C7660CD" w:rsidR="00E06D50" w:rsidRPr="003B25F4" w:rsidRDefault="00E06D50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Подготовка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рефератов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предполагает более глубокую проработку той или иной проблемы функционирования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позволяет студенту проявить свои аналитические способности. В ходе подготовки необходимо использовать различные источники информации (не менее пяти). Структура реферата, правила его оформления представлены </w:t>
      </w:r>
      <w:r w:rsidR="00A734E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Сборнике стандартов «Общие требования к содержанию, порядок выполнения и правила оформления студенческих работ</w:t>
      </w:r>
      <w:r w:rsidR="00E359E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БГЭУ</w:t>
      </w:r>
      <w:r w:rsidR="00A734EA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». </w:t>
      </w:r>
    </w:p>
    <w:p w14:paraId="1E7FD356" w14:textId="6A51B7DC" w:rsidR="00A734EA" w:rsidRPr="003B25F4" w:rsidRDefault="00A734EA" w:rsidP="00CA08FE">
      <w:pPr>
        <w:spacing w:after="0" w:line="270" w:lineRule="exact"/>
        <w:ind w:firstLine="709"/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ходе семинарских занятий по учебной дисциплине «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Организация работы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используются интерактивные методы обучения (дебаты, мозговой штурм). В состав каждой команды, участвующей в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дебатах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входят три человека. Любая проблема рассматривается с двух точек зрения: утверждения и отрицания. Третейские судьи оценивают аргументы спикеров и определяют победителей дебатов. Метод </w:t>
      </w:r>
      <w:r w:rsidRPr="003B25F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мозгового штурма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метод решения задач, в котором участники обсуждения генерируют максимальное количество идей решений задачи. Затем из полученных вариантов выбираются лучшие решения, которые могут быть использованы на практике. Данный метод будет использован при обсуждении возможных путей </w:t>
      </w:r>
      <w:r w:rsidR="00641486"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развития государственного аппарата</w:t>
      </w:r>
      <w:r w:rsidRPr="003B25F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Республике Беларусь. </w:t>
      </w:r>
    </w:p>
    <w:sectPr w:rsidR="00A734EA" w:rsidRPr="003B25F4" w:rsidSect="003B25F4">
      <w:footerReference w:type="default" r:id="rId7"/>
      <w:pgSz w:w="11906" w:h="16838" w:code="9"/>
      <w:pgMar w:top="851" w:right="567" w:bottom="567" w:left="170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8240" w14:textId="77777777" w:rsidR="007049D3" w:rsidRDefault="007049D3" w:rsidP="00EF0D9A">
      <w:pPr>
        <w:spacing w:after="0" w:line="240" w:lineRule="auto"/>
      </w:pPr>
      <w:r>
        <w:separator/>
      </w:r>
    </w:p>
  </w:endnote>
  <w:endnote w:type="continuationSeparator" w:id="0">
    <w:p w14:paraId="618E9F25" w14:textId="77777777" w:rsidR="007049D3" w:rsidRDefault="007049D3" w:rsidP="00EF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7A66" w14:textId="2DAC24F0" w:rsidR="00EF0D9A" w:rsidRPr="00CA08FE" w:rsidRDefault="00EF0D9A" w:rsidP="00CA08FE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D21E" w14:textId="77777777" w:rsidR="007049D3" w:rsidRDefault="007049D3" w:rsidP="00EF0D9A">
      <w:pPr>
        <w:spacing w:after="0" w:line="240" w:lineRule="auto"/>
      </w:pPr>
      <w:r>
        <w:separator/>
      </w:r>
    </w:p>
  </w:footnote>
  <w:footnote w:type="continuationSeparator" w:id="0">
    <w:p w14:paraId="6097B4D1" w14:textId="77777777" w:rsidR="007049D3" w:rsidRDefault="007049D3" w:rsidP="00EF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49A3"/>
    <w:multiLevelType w:val="hybridMultilevel"/>
    <w:tmpl w:val="5134B082"/>
    <w:lvl w:ilvl="0" w:tplc="047C7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FA73D5"/>
    <w:multiLevelType w:val="hybridMultilevel"/>
    <w:tmpl w:val="20666BFA"/>
    <w:lvl w:ilvl="0" w:tplc="047C7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782122">
    <w:abstractNumId w:val="1"/>
  </w:num>
  <w:num w:numId="2" w16cid:durableId="121307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EF"/>
    <w:rsid w:val="00182D44"/>
    <w:rsid w:val="00310DA5"/>
    <w:rsid w:val="003B25F4"/>
    <w:rsid w:val="0054077C"/>
    <w:rsid w:val="00641486"/>
    <w:rsid w:val="006D3B11"/>
    <w:rsid w:val="007049D3"/>
    <w:rsid w:val="008B3BDA"/>
    <w:rsid w:val="009946C6"/>
    <w:rsid w:val="009B3C71"/>
    <w:rsid w:val="00A734EA"/>
    <w:rsid w:val="00B1498E"/>
    <w:rsid w:val="00B544EF"/>
    <w:rsid w:val="00BB6466"/>
    <w:rsid w:val="00CA08FE"/>
    <w:rsid w:val="00CB56DE"/>
    <w:rsid w:val="00E06D50"/>
    <w:rsid w:val="00E359EA"/>
    <w:rsid w:val="00E56C06"/>
    <w:rsid w:val="00EF0D9A"/>
    <w:rsid w:val="00F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1D07E"/>
  <w15:chartTrackingRefBased/>
  <w15:docId w15:val="{51F329BC-DEFE-4D24-9BAB-6C539F8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D9A"/>
  </w:style>
  <w:style w:type="paragraph" w:styleId="a5">
    <w:name w:val="footer"/>
    <w:basedOn w:val="a"/>
    <w:link w:val="a6"/>
    <w:uiPriority w:val="99"/>
    <w:unhideWhenUsed/>
    <w:rsid w:val="00EF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D9A"/>
  </w:style>
  <w:style w:type="paragraph" w:styleId="a7">
    <w:name w:val="List Paragraph"/>
    <w:basedOn w:val="a"/>
    <w:uiPriority w:val="34"/>
    <w:qFormat/>
    <w:rsid w:val="009946C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kern w:val="2"/>
      <w:sz w:val="28"/>
      <w:lang/>
      <w14:ligatures w14:val="standardContextual"/>
    </w:rPr>
  </w:style>
  <w:style w:type="paragraph" w:customStyle="1" w:styleId="Default">
    <w:name w:val="Default"/>
    <w:rsid w:val="00BB6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Каф.политологии</cp:lastModifiedBy>
  <cp:revision>9</cp:revision>
  <dcterms:created xsi:type="dcterms:W3CDTF">2022-05-28T21:15:00Z</dcterms:created>
  <dcterms:modified xsi:type="dcterms:W3CDTF">2023-09-25T08:16:00Z</dcterms:modified>
</cp:coreProperties>
</file>